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4A0" w:firstRow="1" w:lastRow="0" w:firstColumn="1" w:lastColumn="0" w:noHBand="0" w:noVBand="1"/>
      </w:tblPr>
      <w:tblGrid>
        <w:gridCol w:w="3150"/>
        <w:gridCol w:w="1370"/>
        <w:gridCol w:w="4480"/>
        <w:gridCol w:w="26"/>
      </w:tblGrid>
      <w:tr w:rsidR="002B0C5D" w14:paraId="2107F163" w14:textId="77777777" w:rsidTr="004745EE">
        <w:trPr>
          <w:trHeight w:val="1276"/>
        </w:trPr>
        <w:tc>
          <w:tcPr>
            <w:tcW w:w="4520" w:type="dxa"/>
            <w:gridSpan w:val="2"/>
            <w:vMerge w:val="restart"/>
            <w:tcMar>
              <w:left w:w="0" w:type="dxa"/>
              <w:right w:w="0" w:type="dxa"/>
            </w:tcMar>
          </w:tcPr>
          <w:p w14:paraId="2107F161" w14:textId="02DCFBBB" w:rsidR="00E40DCA" w:rsidRPr="004B5C94" w:rsidRDefault="000F3BD8" w:rsidP="009D3286">
            <w:pPr>
              <w:spacing w:after="0" w:line="240" w:lineRule="auto"/>
              <w:ind w:left="113" w:right="113"/>
              <w:jc w:val="both"/>
            </w:pPr>
            <w:r w:rsidRPr="004B5C94">
              <w:rPr>
                <w:noProof/>
                <w:lang w:eastAsia="en-IE"/>
              </w:rPr>
              <w:drawing>
                <wp:anchor distT="0" distB="0" distL="114300" distR="114300" simplePos="0" relativeHeight="251658241" behindDoc="0" locked="0" layoutInCell="1" allowOverlap="1" wp14:anchorId="2107F245" wp14:editId="2107F246">
                  <wp:simplePos x="0" y="0"/>
                  <wp:positionH relativeFrom="column">
                    <wp:posOffset>3175</wp:posOffset>
                  </wp:positionH>
                  <wp:positionV relativeFrom="paragraph">
                    <wp:posOffset>0</wp:posOffset>
                  </wp:positionV>
                  <wp:extent cx="2005965" cy="1062355"/>
                  <wp:effectExtent l="0" t="0" r="0" b="4445"/>
                  <wp:wrapThrough wrapText="bothSides">
                    <wp:wrapPolygon edited="0">
                      <wp:start x="0" y="0"/>
                      <wp:lineTo x="0" y="21303"/>
                      <wp:lineTo x="21333" y="21303"/>
                      <wp:lineTo x="21333"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91544"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5965" cy="1062355"/>
                          </a:xfrm>
                          <a:prstGeom prst="rect">
                            <a:avLst/>
                          </a:prstGeom>
                          <a:noFill/>
                        </pic:spPr>
                      </pic:pic>
                    </a:graphicData>
                  </a:graphic>
                  <wp14:sizeRelH relativeFrom="page">
                    <wp14:pctWidth>0</wp14:pctWidth>
                  </wp14:sizeRelH>
                  <wp14:sizeRelV relativeFrom="page">
                    <wp14:pctHeight>0</wp14:pctHeight>
                  </wp14:sizeRelV>
                </wp:anchor>
              </w:drawing>
            </w:r>
            <w:r w:rsidR="00DA4A34">
              <w:t xml:space="preserve"> </w:t>
            </w:r>
            <w:r w:rsidR="009E4E1F">
              <w:t>.</w:t>
            </w:r>
          </w:p>
        </w:tc>
        <w:tc>
          <w:tcPr>
            <w:tcW w:w="4506" w:type="dxa"/>
            <w:gridSpan w:val="2"/>
            <w:vAlign w:val="bottom"/>
          </w:tcPr>
          <w:p w14:paraId="2107F162" w14:textId="77777777" w:rsidR="00E40DCA" w:rsidRPr="004B5C94" w:rsidRDefault="000F3BD8" w:rsidP="004745EE">
            <w:pPr>
              <w:ind w:left="185"/>
              <w:rPr>
                <w:rFonts w:ascii="Arial" w:hAnsi="Arial" w:cs="Arial"/>
                <w:b/>
                <w:sz w:val="36"/>
              </w:rPr>
            </w:pPr>
            <w:bookmarkStart w:id="0" w:name="_Toc451954645"/>
            <w:r w:rsidRPr="004B5C94">
              <w:rPr>
                <w:rFonts w:ascii="Arial" w:hAnsi="Arial" w:cs="Arial"/>
                <w:b/>
                <w:sz w:val="36"/>
              </w:rPr>
              <w:t>Inspector’s Report</w:t>
            </w:r>
            <w:bookmarkEnd w:id="0"/>
            <w:r w:rsidRPr="004B5C94">
              <w:rPr>
                <w:rFonts w:ascii="Arial" w:hAnsi="Arial" w:cs="Arial"/>
                <w:b/>
                <w:sz w:val="36"/>
              </w:rPr>
              <w:t xml:space="preserve"> </w:t>
            </w:r>
          </w:p>
        </w:tc>
      </w:tr>
      <w:tr w:rsidR="002B0C5D" w14:paraId="2107F166" w14:textId="77777777" w:rsidTr="004745EE">
        <w:trPr>
          <w:trHeight w:val="996"/>
        </w:trPr>
        <w:tc>
          <w:tcPr>
            <w:tcW w:w="4520" w:type="dxa"/>
            <w:gridSpan w:val="2"/>
            <w:vMerge/>
            <w:tcMar>
              <w:left w:w="0" w:type="dxa"/>
              <w:right w:w="0" w:type="dxa"/>
            </w:tcMar>
          </w:tcPr>
          <w:p w14:paraId="2107F164" w14:textId="77777777" w:rsidR="00E40DCA" w:rsidRPr="004B5C94" w:rsidRDefault="00E40DCA" w:rsidP="004745EE">
            <w:pPr>
              <w:pStyle w:val="A1stpage"/>
              <w:rPr>
                <w:noProof/>
                <w:lang w:eastAsia="en-IE"/>
              </w:rPr>
            </w:pPr>
          </w:p>
        </w:tc>
        <w:sdt>
          <w:sdtPr>
            <w:rPr>
              <w:rFonts w:ascii="Arial" w:hAnsi="Arial" w:cs="Arial"/>
              <w:b/>
              <w:sz w:val="36"/>
            </w:rPr>
            <w:alias w:val="osds_inspectorreport_osds_abpcase_title"/>
            <w:tag w:val="dcp|document||String|jobdone"/>
            <w:id w:val="792752738"/>
            <w:placeholder>
              <w:docPart w:val="0AC2F78105874EF6AC91DB63F8136143"/>
            </w:placeholder>
            <w:text/>
          </w:sdtPr>
          <w:sdtContent>
            <w:tc>
              <w:tcPr>
                <w:tcW w:w="4506" w:type="dxa"/>
                <w:gridSpan w:val="2"/>
              </w:tcPr>
              <w:p w14:paraId="2107F165" w14:textId="77777777" w:rsidR="00E40DCA" w:rsidRPr="004B5C94" w:rsidRDefault="000F3BD8" w:rsidP="004745EE">
                <w:pPr>
                  <w:ind w:left="185"/>
                  <w:rPr>
                    <w:rFonts w:ascii="Arial" w:hAnsi="Arial" w:cs="Arial"/>
                    <w:b/>
                    <w:sz w:val="36"/>
                  </w:rPr>
                </w:pPr>
                <w:r>
                  <w:rPr>
                    <w:rFonts w:ascii="Arial" w:hAnsi="Arial" w:cs="Arial"/>
                    <w:b/>
                    <w:sz w:val="36"/>
                  </w:rPr>
                  <w:t>ABP-318540-23</w:t>
                </w:r>
              </w:p>
            </w:tc>
          </w:sdtContent>
        </w:sdt>
      </w:tr>
      <w:tr w:rsidR="002B0C5D" w14:paraId="2107F168" w14:textId="77777777" w:rsidTr="004745EE">
        <w:trPr>
          <w:trHeight w:val="712"/>
        </w:trPr>
        <w:tc>
          <w:tcPr>
            <w:tcW w:w="9026" w:type="dxa"/>
            <w:gridSpan w:val="4"/>
            <w:tcMar>
              <w:left w:w="0" w:type="dxa"/>
              <w:right w:w="0" w:type="dxa"/>
            </w:tcMar>
          </w:tcPr>
          <w:p w14:paraId="2107F167" w14:textId="77777777" w:rsidR="00E40DCA" w:rsidRPr="004B5C94" w:rsidRDefault="000F3BD8" w:rsidP="004745EE">
            <w:pPr>
              <w:pStyle w:val="A1stpage"/>
            </w:pPr>
            <w:r w:rsidRPr="004B5C94">
              <w:rPr>
                <w:noProof/>
                <w:lang w:eastAsia="en-IE"/>
              </w:rPr>
              <mc:AlternateContent>
                <mc:Choice Requires="wps">
                  <w:drawing>
                    <wp:anchor distT="0" distB="0" distL="114300" distR="114300" simplePos="0" relativeHeight="251658240" behindDoc="0" locked="1" layoutInCell="1" allowOverlap="1" wp14:anchorId="2107F247" wp14:editId="2107F248">
                      <wp:simplePos x="0" y="0"/>
                      <wp:positionH relativeFrom="page">
                        <wp:posOffset>0</wp:posOffset>
                      </wp:positionH>
                      <wp:positionV relativeFrom="page">
                        <wp:posOffset>167005</wp:posOffset>
                      </wp:positionV>
                      <wp:extent cx="5729605" cy="100330"/>
                      <wp:effectExtent l="0" t="0" r="23495" b="13970"/>
                      <wp:wrapNone/>
                      <wp:docPr id="4" name="Rectangle 4"/>
                      <wp:cNvGraphicFramePr/>
                      <a:graphic xmlns:a="http://schemas.openxmlformats.org/drawingml/2006/main">
                        <a:graphicData uri="http://schemas.microsoft.com/office/word/2010/wordprocessingShape">
                          <wps:wsp>
                            <wps:cNvSpPr/>
                            <wps:spPr>
                              <a:xfrm>
                                <a:off x="0" y="0"/>
                                <a:ext cx="5729605" cy="100330"/>
                              </a:xfrm>
                              <a:prstGeom prst="rect">
                                <a:avLst/>
                              </a:prstGeom>
                              <a:solidFill>
                                <a:sysClr val="windowText" lastClr="000000"/>
                              </a:solidFill>
                              <a:ln w="12700">
                                <a:solidFill>
                                  <a:sysClr val="windowText" lastClr="000000">
                                    <a:shade val="50000"/>
                                  </a:sysClr>
                                </a:solidFill>
                                <a:miter lim="800000"/>
                              </a:ln>
                              <a:effectLst/>
                            </wps:spPr>
                            <wps:txbx>
                              <w:txbxContent>
                                <w:p w14:paraId="2107F24E" w14:textId="77777777" w:rsidR="00E40DCA" w:rsidRDefault="00E40DCA" w:rsidP="00E40DCA">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107F247" id="Rectangle 4" o:spid="_x0000_s1026" style="position:absolute;left:0;text-align:left;margin-left:0;margin-top:13.15pt;width:451.15pt;height: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" fillcolor="windowText" strokeweight="1pt">
                      <v:textbox>
                        <w:txbxContent>
                          <w:p w14:paraId="2107F24E" w14:textId="77777777" w:rsidR="00E40DCA" w:rsidRDefault="00E40DCA" w:rsidP="00E40DCA">
                            <w:pPr>
                              <w:jc w:val="center"/>
                            </w:pPr>
                          </w:p>
                        </w:txbxContent>
                      </v:textbox>
                      <w10:wrap anchorx="page" anchory="page"/>
                      <w10:anchorlock/>
                    </v:rect>
                  </w:pict>
                </mc:Fallback>
              </mc:AlternateContent>
            </w:r>
          </w:p>
        </w:tc>
      </w:tr>
      <w:tr w:rsidR="002B0C5D" w14:paraId="2107F16D" w14:textId="77777777" w:rsidTr="00430A9E">
        <w:trPr>
          <w:gridAfter w:val="1"/>
          <w:wAfter w:w="26" w:type="dxa"/>
          <w:trHeight w:val="567"/>
        </w:trPr>
        <w:tc>
          <w:tcPr>
            <w:tcW w:w="3150" w:type="dxa"/>
          </w:tcPr>
          <w:p w14:paraId="2107F16A" w14:textId="77777777" w:rsidR="00E40DCA" w:rsidRPr="004B5C94" w:rsidRDefault="000F3BD8" w:rsidP="00946993">
            <w:pPr>
              <w:pStyle w:val="A1stpage"/>
              <w:ind w:left="0"/>
              <w:rPr>
                <w:b/>
              </w:rPr>
            </w:pPr>
            <w:r w:rsidRPr="004B5C94">
              <w:rPr>
                <w:b/>
              </w:rPr>
              <w:t>Development</w:t>
            </w:r>
          </w:p>
          <w:p w14:paraId="2107F16B" w14:textId="77777777" w:rsidR="00E40DCA" w:rsidRPr="004B5C94" w:rsidRDefault="00E40DCA" w:rsidP="004745EE">
            <w:pPr>
              <w:pStyle w:val="A1stpage"/>
              <w:rPr>
                <w:b/>
              </w:rPr>
            </w:pPr>
          </w:p>
        </w:tc>
        <w:sdt>
          <w:sdtPr>
            <w:alias w:val="wmm_Field_a2fbd2c6-9113-4b6b-9510-7cd19f2b3921"/>
            <w:tag w:val="dcp|document||Memo|jobdone"/>
            <w:id w:val="1467795097"/>
            <w:placeholder>
              <w:docPart w:val="14CE94884C81489E94A04D7F770CA729"/>
            </w:placeholder>
            <w:text/>
          </w:sdtPr>
          <w:sdtContent>
            <w:tc>
              <w:tcPr>
                <w:tcW w:w="5850" w:type="dxa"/>
                <w:gridSpan w:val="2"/>
              </w:tcPr>
              <w:p w14:paraId="2107F16C" w14:textId="16684330" w:rsidR="00E40DCA" w:rsidRPr="004B5C94" w:rsidRDefault="000F3BD8" w:rsidP="00C654B8">
                <w:pPr>
                  <w:pStyle w:val="A1stpage"/>
                  <w:jc w:val="both"/>
                </w:pPr>
                <w:r>
                  <w:t>10</w:t>
                </w:r>
                <w:r w:rsidR="00534D1E">
                  <w:t>-</w:t>
                </w:r>
                <w:r>
                  <w:t xml:space="preserve">year planning permission for the proposed Open Cycle Gas Turbine (OCGT) power plant fuelled by Hydrotreated Vegetable Oil (HVO) and associated </w:t>
                </w:r>
                <w:r w:rsidR="00E12E11">
                  <w:t>buildings, plant</w:t>
                </w:r>
                <w:r w:rsidR="00670BC4">
                  <w:t xml:space="preserve">, </w:t>
                </w:r>
                <w:r>
                  <w:t>site works</w:t>
                </w:r>
                <w:r w:rsidR="00670BC4">
                  <w:t xml:space="preserve"> and services.</w:t>
                </w:r>
              </w:p>
            </w:tc>
          </w:sdtContent>
        </w:sdt>
      </w:tr>
      <w:tr w:rsidR="002B0C5D" w14:paraId="2107F170" w14:textId="77777777" w:rsidTr="00430A9E">
        <w:trPr>
          <w:gridAfter w:val="1"/>
          <w:wAfter w:w="26" w:type="dxa"/>
          <w:trHeight w:val="567"/>
        </w:trPr>
        <w:tc>
          <w:tcPr>
            <w:tcW w:w="3150" w:type="dxa"/>
          </w:tcPr>
          <w:p w14:paraId="2107F16E" w14:textId="77777777" w:rsidR="00E40DCA" w:rsidRPr="004B5C94" w:rsidRDefault="000F3BD8" w:rsidP="004745EE">
            <w:pPr>
              <w:pStyle w:val="A1stpage"/>
              <w:rPr>
                <w:b/>
              </w:rPr>
            </w:pPr>
            <w:r w:rsidRPr="004B5C94">
              <w:rPr>
                <w:b/>
              </w:rPr>
              <w:t>Location</w:t>
            </w:r>
          </w:p>
        </w:tc>
        <w:sdt>
          <w:sdtPr>
            <w:alias w:val="wmm_Field_1252655f-2bb1-41db-86c4-f668838c5ee7"/>
            <w:tag w:val="dcp|document||Memo|jobdone"/>
            <w:id w:val="2134703015"/>
            <w:placeholder>
              <w:docPart w:val="B49CBAFD7CBC422FA68485F94B5C5A23"/>
            </w:placeholder>
            <w:text/>
          </w:sdtPr>
          <w:sdtContent>
            <w:tc>
              <w:tcPr>
                <w:tcW w:w="5850" w:type="dxa"/>
                <w:gridSpan w:val="2"/>
              </w:tcPr>
              <w:p w14:paraId="2107F16F" w14:textId="77777777" w:rsidR="00E40DCA" w:rsidRPr="004B5C94" w:rsidRDefault="000F3BD8" w:rsidP="003A2BB6">
                <w:pPr>
                  <w:pStyle w:val="A1stpage"/>
                </w:pPr>
                <w:r>
                  <w:t>at Tarbert Island, Tarbert, Co. Kerry. (www.ssetarbertnextgen.com)</w:t>
                </w:r>
              </w:p>
            </w:tc>
          </w:sdtContent>
        </w:sdt>
      </w:tr>
      <w:tr w:rsidR="002B0C5D" w14:paraId="2107F176" w14:textId="77777777" w:rsidTr="00430A9E">
        <w:trPr>
          <w:gridAfter w:val="1"/>
          <w:wAfter w:w="26" w:type="dxa"/>
          <w:trHeight w:val="567"/>
        </w:trPr>
        <w:tc>
          <w:tcPr>
            <w:tcW w:w="3150" w:type="dxa"/>
          </w:tcPr>
          <w:p w14:paraId="2107F174" w14:textId="77777777" w:rsidR="00E40DCA" w:rsidRPr="004B5C94" w:rsidRDefault="000F3BD8" w:rsidP="00E40DCA">
            <w:pPr>
              <w:pStyle w:val="A1stpage"/>
              <w:ind w:left="0"/>
              <w:rPr>
                <w:b/>
              </w:rPr>
            </w:pPr>
            <w:r w:rsidRPr="004B5C94">
              <w:rPr>
                <w:b/>
              </w:rPr>
              <w:t xml:space="preserve"> Planning Authority</w:t>
            </w:r>
          </w:p>
        </w:tc>
        <w:sdt>
          <w:sdtPr>
            <w:alias w:val="osds_inspectorreport_osds_abpcase_osds_paname_name"/>
            <w:tag w:val="dcp|document||String|jobdone"/>
            <w:id w:val="1479703081"/>
            <w:placeholder>
              <w:docPart w:val="12EFE85B6FBC443C8D5C4A72BD2D202D"/>
            </w:placeholder>
            <w:text/>
          </w:sdtPr>
          <w:sdtContent>
            <w:tc>
              <w:tcPr>
                <w:tcW w:w="5850" w:type="dxa"/>
                <w:gridSpan w:val="2"/>
              </w:tcPr>
              <w:p w14:paraId="2107F175" w14:textId="77777777" w:rsidR="00E40DCA" w:rsidRPr="004B5C94" w:rsidRDefault="000F3BD8" w:rsidP="004745EE">
                <w:pPr>
                  <w:pStyle w:val="A1stpage"/>
                </w:pPr>
                <w:r>
                  <w:t>Kerry County Council</w:t>
                </w:r>
              </w:p>
            </w:tc>
          </w:sdtContent>
        </w:sdt>
      </w:tr>
      <w:tr w:rsidR="002B0C5D" w14:paraId="2107F17C" w14:textId="77777777" w:rsidTr="00430A9E">
        <w:trPr>
          <w:gridAfter w:val="1"/>
          <w:wAfter w:w="26" w:type="dxa"/>
          <w:trHeight w:val="567"/>
        </w:trPr>
        <w:tc>
          <w:tcPr>
            <w:tcW w:w="3150" w:type="dxa"/>
          </w:tcPr>
          <w:p w14:paraId="2107F17A" w14:textId="77777777" w:rsidR="00E40DCA" w:rsidRPr="004B5C94" w:rsidRDefault="000F3BD8" w:rsidP="004B5A31">
            <w:pPr>
              <w:pStyle w:val="A1stpage"/>
              <w:jc w:val="both"/>
              <w:rPr>
                <w:b/>
              </w:rPr>
            </w:pPr>
            <w:r w:rsidRPr="004B5C94">
              <w:rPr>
                <w:b/>
              </w:rPr>
              <w:t>Applicant(s)</w:t>
            </w:r>
          </w:p>
        </w:tc>
        <w:tc>
          <w:tcPr>
            <w:tcW w:w="5850" w:type="dxa"/>
            <w:gridSpan w:val="2"/>
          </w:tcPr>
          <w:p w14:paraId="2107F17B" w14:textId="25B2DD84" w:rsidR="00E40DCA" w:rsidRPr="004B5C94" w:rsidRDefault="00D7486B" w:rsidP="004B5A31">
            <w:pPr>
              <w:pStyle w:val="A1stpage"/>
              <w:jc w:val="both"/>
            </w:pPr>
            <w:r>
              <w:t>SSE</w:t>
            </w:r>
            <w:r w:rsidR="005529A0">
              <w:t xml:space="preserve"> Generation Ireland Limited</w:t>
            </w:r>
          </w:p>
        </w:tc>
      </w:tr>
      <w:tr w:rsidR="002B0C5D" w14:paraId="2107F17F" w14:textId="77777777" w:rsidTr="00430A9E">
        <w:trPr>
          <w:gridAfter w:val="1"/>
          <w:wAfter w:w="26" w:type="dxa"/>
          <w:trHeight w:val="567"/>
        </w:trPr>
        <w:tc>
          <w:tcPr>
            <w:tcW w:w="3150" w:type="dxa"/>
          </w:tcPr>
          <w:p w14:paraId="2107F17D" w14:textId="77777777" w:rsidR="00E40DCA" w:rsidRPr="004B5C94" w:rsidRDefault="000F3BD8" w:rsidP="004B5A31">
            <w:pPr>
              <w:pStyle w:val="A1stpage"/>
              <w:jc w:val="both"/>
              <w:rPr>
                <w:b/>
              </w:rPr>
            </w:pPr>
            <w:r w:rsidRPr="004B5C94">
              <w:rPr>
                <w:b/>
              </w:rPr>
              <w:t>Type of Application</w:t>
            </w:r>
          </w:p>
        </w:tc>
        <w:tc>
          <w:tcPr>
            <w:tcW w:w="5850" w:type="dxa"/>
            <w:gridSpan w:val="2"/>
          </w:tcPr>
          <w:p w14:paraId="2107F17E" w14:textId="242BB045" w:rsidR="00E40DCA" w:rsidRPr="004B5C94" w:rsidRDefault="00E96D84" w:rsidP="004B5A31">
            <w:pPr>
              <w:pStyle w:val="A1stpage"/>
              <w:jc w:val="both"/>
            </w:pPr>
            <w:r>
              <w:t>Strategic Infrastructure, Section 37E of the Planning and Development Act 2000, (as amended)</w:t>
            </w:r>
          </w:p>
        </w:tc>
      </w:tr>
      <w:tr w:rsidR="002B0C5D" w14:paraId="2107F182" w14:textId="77777777" w:rsidTr="00430A9E">
        <w:trPr>
          <w:gridAfter w:val="1"/>
          <w:wAfter w:w="26" w:type="dxa"/>
          <w:trHeight w:val="567"/>
        </w:trPr>
        <w:tc>
          <w:tcPr>
            <w:tcW w:w="3150" w:type="dxa"/>
          </w:tcPr>
          <w:p w14:paraId="2107F180" w14:textId="7202176A" w:rsidR="00E40DCA" w:rsidRPr="004B5C94" w:rsidRDefault="00CC6A0D" w:rsidP="004745EE">
            <w:pPr>
              <w:pStyle w:val="A1stpage"/>
              <w:rPr>
                <w:b/>
              </w:rPr>
            </w:pPr>
            <w:r>
              <w:rPr>
                <w:b/>
              </w:rPr>
              <w:t>Prescribed Bodies</w:t>
            </w:r>
          </w:p>
        </w:tc>
        <w:tc>
          <w:tcPr>
            <w:tcW w:w="5850" w:type="dxa"/>
            <w:gridSpan w:val="2"/>
          </w:tcPr>
          <w:p w14:paraId="73E73CDA" w14:textId="0452A640" w:rsidR="002866FF" w:rsidRDefault="002866FF" w:rsidP="009354E9">
            <w:pPr>
              <w:pStyle w:val="A1stpage"/>
              <w:numPr>
                <w:ilvl w:val="0"/>
                <w:numId w:val="4"/>
              </w:numPr>
              <w:jc w:val="both"/>
            </w:pPr>
            <w:r>
              <w:t>Kerry County Council</w:t>
            </w:r>
          </w:p>
          <w:p w14:paraId="0E592216" w14:textId="3DE18E18" w:rsidR="00430A9E" w:rsidRDefault="00E971B5" w:rsidP="009354E9">
            <w:pPr>
              <w:pStyle w:val="A1stpage"/>
              <w:numPr>
                <w:ilvl w:val="0"/>
                <w:numId w:val="4"/>
              </w:numPr>
              <w:jc w:val="both"/>
            </w:pPr>
            <w:r>
              <w:t xml:space="preserve">Uisce </w:t>
            </w:r>
            <w:r w:rsidR="00842E75" w:rsidRPr="006B1883">
              <w:t>É</w:t>
            </w:r>
            <w:r w:rsidR="00842E75">
              <w:t>ireann</w:t>
            </w:r>
            <w:r w:rsidR="008A2E23">
              <w:t xml:space="preserve"> </w:t>
            </w:r>
            <w:r>
              <w:t>(</w:t>
            </w:r>
            <w:r w:rsidR="00E3283F">
              <w:t>UE</w:t>
            </w:r>
            <w:r>
              <w:t>)</w:t>
            </w:r>
          </w:p>
          <w:p w14:paraId="73DCB8EC" w14:textId="77777777" w:rsidR="00430A9E" w:rsidRDefault="00430A9E" w:rsidP="009354E9">
            <w:pPr>
              <w:pStyle w:val="A1stpage"/>
              <w:numPr>
                <w:ilvl w:val="0"/>
                <w:numId w:val="4"/>
              </w:numPr>
              <w:jc w:val="both"/>
            </w:pPr>
            <w:r>
              <w:t>Transport Infrastructure Ireland (TII)</w:t>
            </w:r>
          </w:p>
          <w:p w14:paraId="6BE6E351" w14:textId="77777777" w:rsidR="00430A9E" w:rsidRDefault="00430A9E" w:rsidP="009354E9">
            <w:pPr>
              <w:pStyle w:val="A1stpage"/>
              <w:numPr>
                <w:ilvl w:val="0"/>
                <w:numId w:val="4"/>
              </w:numPr>
              <w:jc w:val="both"/>
            </w:pPr>
            <w:r w:rsidRPr="00430A9E">
              <w:t>Environmental Protection Agency (EPA)</w:t>
            </w:r>
          </w:p>
          <w:p w14:paraId="505317A6" w14:textId="53C29BFC" w:rsidR="00430A9E" w:rsidRPr="00430A9E" w:rsidRDefault="00430A9E" w:rsidP="009354E9">
            <w:pPr>
              <w:pStyle w:val="A1stpage"/>
              <w:numPr>
                <w:ilvl w:val="0"/>
                <w:numId w:val="4"/>
              </w:numPr>
              <w:jc w:val="both"/>
            </w:pPr>
            <w:r w:rsidRPr="00430A9E">
              <w:t>Environmental Health Service (EHS)</w:t>
            </w:r>
          </w:p>
          <w:p w14:paraId="7B349287" w14:textId="77777777" w:rsidR="00430A9E" w:rsidRDefault="00D57586" w:rsidP="009354E9">
            <w:pPr>
              <w:pStyle w:val="A1stpage"/>
              <w:numPr>
                <w:ilvl w:val="0"/>
                <w:numId w:val="4"/>
              </w:numPr>
              <w:jc w:val="both"/>
            </w:pPr>
            <w:r>
              <w:t>Health Safety Authority (HSA)</w:t>
            </w:r>
          </w:p>
          <w:p w14:paraId="2107F181" w14:textId="6D4EF7D8" w:rsidR="0082161C" w:rsidRPr="004B5C94" w:rsidRDefault="0082161C" w:rsidP="0082161C">
            <w:pPr>
              <w:pStyle w:val="A1stpage"/>
              <w:ind w:left="417"/>
              <w:jc w:val="both"/>
            </w:pPr>
          </w:p>
        </w:tc>
      </w:tr>
      <w:tr w:rsidR="002B0C5D" w14:paraId="2107F188" w14:textId="77777777" w:rsidTr="00430A9E">
        <w:trPr>
          <w:gridAfter w:val="1"/>
          <w:wAfter w:w="26" w:type="dxa"/>
          <w:trHeight w:val="567"/>
        </w:trPr>
        <w:tc>
          <w:tcPr>
            <w:tcW w:w="3150" w:type="dxa"/>
          </w:tcPr>
          <w:p w14:paraId="2107F186" w14:textId="7FF71A7E" w:rsidR="00E40DCA" w:rsidRPr="004B5C94" w:rsidRDefault="00CC6A0D" w:rsidP="004745EE">
            <w:pPr>
              <w:pStyle w:val="A1stpage"/>
              <w:rPr>
                <w:b/>
              </w:rPr>
            </w:pPr>
            <w:r>
              <w:rPr>
                <w:b/>
              </w:rPr>
              <w:t>Third Party Observers</w:t>
            </w:r>
          </w:p>
        </w:tc>
        <w:tc>
          <w:tcPr>
            <w:tcW w:w="5850" w:type="dxa"/>
            <w:gridSpan w:val="2"/>
          </w:tcPr>
          <w:p w14:paraId="375C1005" w14:textId="7E02E3FC" w:rsidR="00A3495D" w:rsidRPr="00A3495D" w:rsidRDefault="00A3495D" w:rsidP="009354E9">
            <w:pPr>
              <w:pStyle w:val="ListParagraph"/>
              <w:numPr>
                <w:ilvl w:val="0"/>
                <w:numId w:val="7"/>
              </w:numPr>
              <w:jc w:val="both"/>
              <w:rPr>
                <w:rFonts w:eastAsia="Calibri"/>
              </w:rPr>
            </w:pPr>
            <w:r>
              <w:t xml:space="preserve">Tarbert </w:t>
            </w:r>
            <w:r w:rsidRPr="00A3495D">
              <w:rPr>
                <w:rFonts w:eastAsia="Calibri"/>
              </w:rPr>
              <w:t>Development Association</w:t>
            </w:r>
          </w:p>
          <w:p w14:paraId="6954A670" w14:textId="4367659C" w:rsidR="00AA69C0" w:rsidRDefault="00181FEA" w:rsidP="009354E9">
            <w:pPr>
              <w:pStyle w:val="A1stpage"/>
              <w:numPr>
                <w:ilvl w:val="0"/>
                <w:numId w:val="7"/>
              </w:numPr>
              <w:jc w:val="both"/>
            </w:pPr>
            <w:r>
              <w:t xml:space="preserve">Cllr </w:t>
            </w:r>
            <w:r w:rsidR="00A3495D">
              <w:t>Michael Foley</w:t>
            </w:r>
          </w:p>
          <w:p w14:paraId="2107F187" w14:textId="065D1FBF" w:rsidR="00E40DCA" w:rsidRPr="004B5C94" w:rsidRDefault="006B646F" w:rsidP="009354E9">
            <w:pPr>
              <w:pStyle w:val="A1stpage"/>
              <w:numPr>
                <w:ilvl w:val="0"/>
                <w:numId w:val="7"/>
              </w:numPr>
              <w:jc w:val="both"/>
            </w:pPr>
            <w:r>
              <w:t>John Fox</w:t>
            </w:r>
            <w:r w:rsidR="00AA69C0">
              <w:t xml:space="preserve"> </w:t>
            </w:r>
          </w:p>
        </w:tc>
      </w:tr>
      <w:tr w:rsidR="002B0C5D" w14:paraId="2107F194" w14:textId="77777777" w:rsidTr="00430A9E">
        <w:trPr>
          <w:gridAfter w:val="1"/>
          <w:wAfter w:w="26" w:type="dxa"/>
          <w:trHeight w:val="567"/>
        </w:trPr>
        <w:tc>
          <w:tcPr>
            <w:tcW w:w="3150" w:type="dxa"/>
          </w:tcPr>
          <w:p w14:paraId="2107F192" w14:textId="77777777" w:rsidR="00E40DCA" w:rsidRPr="004B5C94" w:rsidRDefault="000F3BD8" w:rsidP="00946993">
            <w:pPr>
              <w:pStyle w:val="A1stpage"/>
              <w:ind w:left="0"/>
              <w:rPr>
                <w:b/>
              </w:rPr>
            </w:pPr>
            <w:r w:rsidRPr="004B5C94">
              <w:rPr>
                <w:b/>
              </w:rPr>
              <w:t>Date of Site Inspection</w:t>
            </w:r>
          </w:p>
        </w:tc>
        <w:tc>
          <w:tcPr>
            <w:tcW w:w="5850" w:type="dxa"/>
            <w:gridSpan w:val="2"/>
          </w:tcPr>
          <w:p w14:paraId="2107F193" w14:textId="617C889A" w:rsidR="00E40DCA" w:rsidRPr="004B5C94" w:rsidRDefault="002E028D" w:rsidP="004745EE">
            <w:pPr>
              <w:pStyle w:val="A1stpage"/>
            </w:pPr>
            <w:r>
              <w:t>31</w:t>
            </w:r>
            <w:r w:rsidRPr="002E028D">
              <w:rPr>
                <w:vertAlign w:val="superscript"/>
              </w:rPr>
              <w:t>st</w:t>
            </w:r>
            <w:r w:rsidR="000676A1">
              <w:t xml:space="preserve"> </w:t>
            </w:r>
            <w:r>
              <w:t>May</w:t>
            </w:r>
            <w:r w:rsidR="000676A1">
              <w:t xml:space="preserve"> 2024</w:t>
            </w:r>
          </w:p>
        </w:tc>
      </w:tr>
      <w:tr w:rsidR="002B0C5D" w14:paraId="2107F197" w14:textId="77777777" w:rsidTr="00430A9E">
        <w:trPr>
          <w:gridAfter w:val="1"/>
          <w:wAfter w:w="26" w:type="dxa"/>
          <w:trHeight w:val="567"/>
        </w:trPr>
        <w:tc>
          <w:tcPr>
            <w:tcW w:w="3150" w:type="dxa"/>
          </w:tcPr>
          <w:p w14:paraId="2107F195" w14:textId="77777777" w:rsidR="00E40DCA" w:rsidRPr="004B5C94" w:rsidRDefault="000F3BD8" w:rsidP="004745EE">
            <w:pPr>
              <w:pStyle w:val="A1stpage"/>
              <w:rPr>
                <w:b/>
              </w:rPr>
            </w:pPr>
            <w:r w:rsidRPr="004B5C94">
              <w:rPr>
                <w:b/>
              </w:rPr>
              <w:t>Inspector</w:t>
            </w:r>
          </w:p>
        </w:tc>
        <w:sdt>
          <w:sdtPr>
            <w:alias w:val="osds_inspectorreport_osds_inspector_osds_name"/>
            <w:tag w:val="dcp|document||String|jobdone"/>
            <w:id w:val="560625399"/>
            <w:placeholder>
              <w:docPart w:val="24C2264422F94E2390568CF17B5EF12F"/>
            </w:placeholder>
            <w:text/>
          </w:sdtPr>
          <w:sdtContent>
            <w:tc>
              <w:tcPr>
                <w:tcW w:w="5850" w:type="dxa"/>
                <w:gridSpan w:val="2"/>
              </w:tcPr>
              <w:p w14:paraId="2107F196" w14:textId="77777777" w:rsidR="00E40DCA" w:rsidRPr="004B5C94" w:rsidRDefault="000F3BD8" w:rsidP="004745EE">
                <w:pPr>
                  <w:pStyle w:val="A1stpage"/>
                </w:pPr>
                <w:r>
                  <w:t>Laura Finn</w:t>
                </w:r>
              </w:p>
            </w:tc>
          </w:sdtContent>
        </w:sdt>
      </w:tr>
    </w:tbl>
    <w:p w14:paraId="2107F19A" w14:textId="77777777" w:rsidR="00E40DCA" w:rsidRPr="004B5C94" w:rsidRDefault="000F3BD8" w:rsidP="00E40DCA">
      <w:pPr>
        <w:pStyle w:val="A1stpage"/>
        <w:ind w:left="0"/>
        <w:rPr>
          <w:b/>
          <w:sz w:val="32"/>
        </w:rPr>
      </w:pPr>
      <w:r w:rsidRPr="004B5C94">
        <w:rPr>
          <w:b/>
          <w:sz w:val="32"/>
        </w:rPr>
        <w:lastRenderedPageBreak/>
        <w:t>Contents</w:t>
      </w:r>
    </w:p>
    <w:p w14:paraId="29E07D87" w14:textId="629F3CF0" w:rsidR="008732C4" w:rsidRDefault="005F13EC">
      <w:pPr>
        <w:pStyle w:val="TOC1"/>
        <w:rPr>
          <w:rFonts w:asciiTheme="minorHAnsi" w:eastAsiaTheme="minorEastAsia" w:hAnsiTheme="minorHAnsi" w:cstheme="minorBidi"/>
          <w:noProof/>
          <w:kern w:val="2"/>
          <w:lang w:eastAsia="en-IE"/>
          <w14:ligatures w14:val="standardContextual"/>
        </w:rPr>
      </w:pPr>
      <w:r>
        <w:fldChar w:fldCharType="begin"/>
      </w:r>
      <w:r>
        <w:instrText xml:space="preserve"> TOC \o "1-1" \h \z \u </w:instrText>
      </w:r>
      <w:r>
        <w:fldChar w:fldCharType="separate"/>
      </w:r>
      <w:hyperlink w:anchor="_Toc171346779" w:history="1">
        <w:r w:rsidR="008732C4" w:rsidRPr="00C629E1">
          <w:rPr>
            <w:rStyle w:val="Hyperlink"/>
            <w:noProof/>
            <w:lang w:bidi="x-none"/>
          </w:rPr>
          <w:t>1.0</w:t>
        </w:r>
        <w:r w:rsidR="008732C4">
          <w:rPr>
            <w:rFonts w:asciiTheme="minorHAnsi" w:eastAsiaTheme="minorEastAsia" w:hAnsiTheme="minorHAnsi" w:cstheme="minorBidi"/>
            <w:noProof/>
            <w:kern w:val="2"/>
            <w:lang w:eastAsia="en-IE"/>
            <w14:ligatures w14:val="standardContextual"/>
          </w:rPr>
          <w:tab/>
        </w:r>
        <w:r w:rsidR="008732C4" w:rsidRPr="00C629E1">
          <w:rPr>
            <w:rStyle w:val="Hyperlink"/>
            <w:noProof/>
          </w:rPr>
          <w:t>Introduction</w:t>
        </w:r>
        <w:r w:rsidR="008732C4">
          <w:rPr>
            <w:noProof/>
            <w:webHidden/>
          </w:rPr>
          <w:tab/>
        </w:r>
        <w:r w:rsidR="008732C4">
          <w:rPr>
            <w:noProof/>
            <w:webHidden/>
          </w:rPr>
          <w:fldChar w:fldCharType="begin"/>
        </w:r>
        <w:r w:rsidR="008732C4">
          <w:rPr>
            <w:noProof/>
            <w:webHidden/>
          </w:rPr>
          <w:instrText xml:space="preserve"> PAGEREF _Toc171346779 \h </w:instrText>
        </w:r>
        <w:r w:rsidR="008732C4">
          <w:rPr>
            <w:noProof/>
            <w:webHidden/>
          </w:rPr>
        </w:r>
        <w:r w:rsidR="008732C4">
          <w:rPr>
            <w:noProof/>
            <w:webHidden/>
          </w:rPr>
          <w:fldChar w:fldCharType="separate"/>
        </w:r>
        <w:r w:rsidR="008732C4">
          <w:rPr>
            <w:noProof/>
            <w:webHidden/>
          </w:rPr>
          <w:t>4</w:t>
        </w:r>
        <w:r w:rsidR="008732C4">
          <w:rPr>
            <w:noProof/>
            <w:webHidden/>
          </w:rPr>
          <w:fldChar w:fldCharType="end"/>
        </w:r>
      </w:hyperlink>
    </w:p>
    <w:p w14:paraId="243C7DE2" w14:textId="164CA9E2" w:rsidR="008732C4" w:rsidRDefault="008732C4">
      <w:pPr>
        <w:pStyle w:val="TOC1"/>
        <w:rPr>
          <w:rFonts w:asciiTheme="minorHAnsi" w:eastAsiaTheme="minorEastAsia" w:hAnsiTheme="minorHAnsi" w:cstheme="minorBidi"/>
          <w:noProof/>
          <w:kern w:val="2"/>
          <w:lang w:eastAsia="en-IE"/>
          <w14:ligatures w14:val="standardContextual"/>
        </w:rPr>
      </w:pPr>
      <w:hyperlink w:anchor="_Toc171346780" w:history="1">
        <w:r w:rsidRPr="00C629E1">
          <w:rPr>
            <w:rStyle w:val="Hyperlink"/>
            <w:noProof/>
            <w:lang w:bidi="x-none"/>
          </w:rPr>
          <w:t>2.0</w:t>
        </w:r>
        <w:r>
          <w:rPr>
            <w:rFonts w:asciiTheme="minorHAnsi" w:eastAsiaTheme="minorEastAsia" w:hAnsiTheme="minorHAnsi" w:cstheme="minorBidi"/>
            <w:noProof/>
            <w:kern w:val="2"/>
            <w:lang w:eastAsia="en-IE"/>
            <w14:ligatures w14:val="standardContextual"/>
          </w:rPr>
          <w:tab/>
        </w:r>
        <w:r w:rsidRPr="00C629E1">
          <w:rPr>
            <w:rStyle w:val="Hyperlink"/>
            <w:noProof/>
          </w:rPr>
          <w:t>Proposed Development</w:t>
        </w:r>
        <w:r>
          <w:rPr>
            <w:noProof/>
            <w:webHidden/>
          </w:rPr>
          <w:tab/>
        </w:r>
        <w:r>
          <w:rPr>
            <w:noProof/>
            <w:webHidden/>
          </w:rPr>
          <w:fldChar w:fldCharType="begin"/>
        </w:r>
        <w:r>
          <w:rPr>
            <w:noProof/>
            <w:webHidden/>
          </w:rPr>
          <w:instrText xml:space="preserve"> PAGEREF _Toc171346780 \h </w:instrText>
        </w:r>
        <w:r>
          <w:rPr>
            <w:noProof/>
            <w:webHidden/>
          </w:rPr>
        </w:r>
        <w:r>
          <w:rPr>
            <w:noProof/>
            <w:webHidden/>
          </w:rPr>
          <w:fldChar w:fldCharType="separate"/>
        </w:r>
        <w:r>
          <w:rPr>
            <w:noProof/>
            <w:webHidden/>
          </w:rPr>
          <w:t>8</w:t>
        </w:r>
        <w:r>
          <w:rPr>
            <w:noProof/>
            <w:webHidden/>
          </w:rPr>
          <w:fldChar w:fldCharType="end"/>
        </w:r>
      </w:hyperlink>
    </w:p>
    <w:p w14:paraId="3FB618C6" w14:textId="32DE6D6B" w:rsidR="008732C4" w:rsidRDefault="008732C4">
      <w:pPr>
        <w:pStyle w:val="TOC1"/>
        <w:rPr>
          <w:rFonts w:asciiTheme="minorHAnsi" w:eastAsiaTheme="minorEastAsia" w:hAnsiTheme="minorHAnsi" w:cstheme="minorBidi"/>
          <w:noProof/>
          <w:kern w:val="2"/>
          <w:lang w:eastAsia="en-IE"/>
          <w14:ligatures w14:val="standardContextual"/>
        </w:rPr>
      </w:pPr>
      <w:hyperlink w:anchor="_Toc171346781" w:history="1">
        <w:r w:rsidRPr="00C629E1">
          <w:rPr>
            <w:rStyle w:val="Hyperlink"/>
            <w:noProof/>
            <w:lang w:bidi="x-none"/>
          </w:rPr>
          <w:t>3.0</w:t>
        </w:r>
        <w:r>
          <w:rPr>
            <w:rFonts w:asciiTheme="minorHAnsi" w:eastAsiaTheme="minorEastAsia" w:hAnsiTheme="minorHAnsi" w:cstheme="minorBidi"/>
            <w:noProof/>
            <w:kern w:val="2"/>
            <w:lang w:eastAsia="en-IE"/>
            <w14:ligatures w14:val="standardContextual"/>
          </w:rPr>
          <w:tab/>
        </w:r>
        <w:r w:rsidRPr="00C629E1">
          <w:rPr>
            <w:rStyle w:val="Hyperlink"/>
            <w:noProof/>
          </w:rPr>
          <w:t>Policy Context</w:t>
        </w:r>
        <w:r>
          <w:rPr>
            <w:noProof/>
            <w:webHidden/>
          </w:rPr>
          <w:tab/>
        </w:r>
        <w:r>
          <w:rPr>
            <w:noProof/>
            <w:webHidden/>
          </w:rPr>
          <w:fldChar w:fldCharType="begin"/>
        </w:r>
        <w:r>
          <w:rPr>
            <w:noProof/>
            <w:webHidden/>
          </w:rPr>
          <w:instrText xml:space="preserve"> PAGEREF _Toc171346781 \h </w:instrText>
        </w:r>
        <w:r>
          <w:rPr>
            <w:noProof/>
            <w:webHidden/>
          </w:rPr>
        </w:r>
        <w:r>
          <w:rPr>
            <w:noProof/>
            <w:webHidden/>
          </w:rPr>
          <w:fldChar w:fldCharType="separate"/>
        </w:r>
        <w:r>
          <w:rPr>
            <w:noProof/>
            <w:webHidden/>
          </w:rPr>
          <w:t>12</w:t>
        </w:r>
        <w:r>
          <w:rPr>
            <w:noProof/>
            <w:webHidden/>
          </w:rPr>
          <w:fldChar w:fldCharType="end"/>
        </w:r>
      </w:hyperlink>
    </w:p>
    <w:p w14:paraId="47E13D52" w14:textId="1D9AC373" w:rsidR="008732C4" w:rsidRDefault="008732C4">
      <w:pPr>
        <w:pStyle w:val="TOC1"/>
        <w:rPr>
          <w:rFonts w:asciiTheme="minorHAnsi" w:eastAsiaTheme="minorEastAsia" w:hAnsiTheme="minorHAnsi" w:cstheme="minorBidi"/>
          <w:noProof/>
          <w:kern w:val="2"/>
          <w:lang w:eastAsia="en-IE"/>
          <w14:ligatures w14:val="standardContextual"/>
        </w:rPr>
      </w:pPr>
      <w:hyperlink w:anchor="_Toc171346782" w:history="1">
        <w:r w:rsidRPr="00C629E1">
          <w:rPr>
            <w:rStyle w:val="Hyperlink"/>
            <w:noProof/>
            <w:lang w:bidi="x-none"/>
          </w:rPr>
          <w:t>4.0</w:t>
        </w:r>
        <w:r>
          <w:rPr>
            <w:rFonts w:asciiTheme="minorHAnsi" w:eastAsiaTheme="minorEastAsia" w:hAnsiTheme="minorHAnsi" w:cstheme="minorBidi"/>
            <w:noProof/>
            <w:kern w:val="2"/>
            <w:lang w:eastAsia="en-IE"/>
            <w14:ligatures w14:val="standardContextual"/>
          </w:rPr>
          <w:tab/>
        </w:r>
        <w:r w:rsidRPr="00C629E1">
          <w:rPr>
            <w:rStyle w:val="Hyperlink"/>
            <w:noProof/>
          </w:rPr>
          <w:t>Submissions &amp; Observations</w:t>
        </w:r>
        <w:r>
          <w:rPr>
            <w:noProof/>
            <w:webHidden/>
          </w:rPr>
          <w:tab/>
        </w:r>
        <w:r>
          <w:rPr>
            <w:noProof/>
            <w:webHidden/>
          </w:rPr>
          <w:fldChar w:fldCharType="begin"/>
        </w:r>
        <w:r>
          <w:rPr>
            <w:noProof/>
            <w:webHidden/>
          </w:rPr>
          <w:instrText xml:space="preserve"> PAGEREF _Toc171346782 \h </w:instrText>
        </w:r>
        <w:r>
          <w:rPr>
            <w:noProof/>
            <w:webHidden/>
          </w:rPr>
        </w:r>
        <w:r>
          <w:rPr>
            <w:noProof/>
            <w:webHidden/>
          </w:rPr>
          <w:fldChar w:fldCharType="separate"/>
        </w:r>
        <w:r>
          <w:rPr>
            <w:noProof/>
            <w:webHidden/>
          </w:rPr>
          <w:t>21</w:t>
        </w:r>
        <w:r>
          <w:rPr>
            <w:noProof/>
            <w:webHidden/>
          </w:rPr>
          <w:fldChar w:fldCharType="end"/>
        </w:r>
      </w:hyperlink>
    </w:p>
    <w:p w14:paraId="26FA4104" w14:textId="3F57A73B" w:rsidR="008732C4" w:rsidRDefault="008732C4">
      <w:pPr>
        <w:pStyle w:val="TOC1"/>
        <w:rPr>
          <w:rFonts w:asciiTheme="minorHAnsi" w:eastAsiaTheme="minorEastAsia" w:hAnsiTheme="minorHAnsi" w:cstheme="minorBidi"/>
          <w:noProof/>
          <w:kern w:val="2"/>
          <w:lang w:eastAsia="en-IE"/>
          <w14:ligatures w14:val="standardContextual"/>
        </w:rPr>
      </w:pPr>
      <w:hyperlink w:anchor="_Toc171346783" w:history="1">
        <w:r w:rsidRPr="00C629E1">
          <w:rPr>
            <w:rStyle w:val="Hyperlink"/>
            <w:noProof/>
            <w:lang w:bidi="x-none"/>
          </w:rPr>
          <w:t>5.0</w:t>
        </w:r>
        <w:r>
          <w:rPr>
            <w:rFonts w:asciiTheme="minorHAnsi" w:eastAsiaTheme="minorEastAsia" w:hAnsiTheme="minorHAnsi" w:cstheme="minorBidi"/>
            <w:noProof/>
            <w:kern w:val="2"/>
            <w:lang w:eastAsia="en-IE"/>
            <w14:ligatures w14:val="standardContextual"/>
          </w:rPr>
          <w:tab/>
        </w:r>
        <w:r w:rsidRPr="00C629E1">
          <w:rPr>
            <w:rStyle w:val="Hyperlink"/>
            <w:noProof/>
          </w:rPr>
          <w:t>Planning Assessment</w:t>
        </w:r>
        <w:r>
          <w:rPr>
            <w:noProof/>
            <w:webHidden/>
          </w:rPr>
          <w:tab/>
        </w:r>
        <w:r>
          <w:rPr>
            <w:noProof/>
            <w:webHidden/>
          </w:rPr>
          <w:fldChar w:fldCharType="begin"/>
        </w:r>
        <w:r>
          <w:rPr>
            <w:noProof/>
            <w:webHidden/>
          </w:rPr>
          <w:instrText xml:space="preserve"> PAGEREF _Toc171346783 \h </w:instrText>
        </w:r>
        <w:r>
          <w:rPr>
            <w:noProof/>
            <w:webHidden/>
          </w:rPr>
        </w:r>
        <w:r>
          <w:rPr>
            <w:noProof/>
            <w:webHidden/>
          </w:rPr>
          <w:fldChar w:fldCharType="separate"/>
        </w:r>
        <w:r>
          <w:rPr>
            <w:noProof/>
            <w:webHidden/>
          </w:rPr>
          <w:t>32</w:t>
        </w:r>
        <w:r>
          <w:rPr>
            <w:noProof/>
            <w:webHidden/>
          </w:rPr>
          <w:fldChar w:fldCharType="end"/>
        </w:r>
      </w:hyperlink>
    </w:p>
    <w:p w14:paraId="699D0234" w14:textId="6C684656" w:rsidR="008732C4" w:rsidRDefault="008732C4">
      <w:pPr>
        <w:pStyle w:val="TOC1"/>
        <w:rPr>
          <w:rFonts w:asciiTheme="minorHAnsi" w:eastAsiaTheme="minorEastAsia" w:hAnsiTheme="minorHAnsi" w:cstheme="minorBidi"/>
          <w:noProof/>
          <w:kern w:val="2"/>
          <w:lang w:eastAsia="en-IE"/>
          <w14:ligatures w14:val="standardContextual"/>
        </w:rPr>
      </w:pPr>
      <w:hyperlink w:anchor="_Toc171346784" w:history="1">
        <w:r w:rsidRPr="00C629E1">
          <w:rPr>
            <w:rStyle w:val="Hyperlink"/>
            <w:noProof/>
            <w:lang w:bidi="x-none"/>
          </w:rPr>
          <w:t>6.0</w:t>
        </w:r>
        <w:r>
          <w:rPr>
            <w:rFonts w:asciiTheme="minorHAnsi" w:eastAsiaTheme="minorEastAsia" w:hAnsiTheme="minorHAnsi" w:cstheme="minorBidi"/>
            <w:noProof/>
            <w:kern w:val="2"/>
            <w:lang w:eastAsia="en-IE"/>
            <w14:ligatures w14:val="standardContextual"/>
          </w:rPr>
          <w:tab/>
        </w:r>
        <w:r w:rsidRPr="00C629E1">
          <w:rPr>
            <w:rStyle w:val="Hyperlink"/>
            <w:noProof/>
          </w:rPr>
          <w:t>Environmental Impact Assessment (EIA)</w:t>
        </w:r>
        <w:r>
          <w:rPr>
            <w:noProof/>
            <w:webHidden/>
          </w:rPr>
          <w:tab/>
        </w:r>
        <w:r>
          <w:rPr>
            <w:noProof/>
            <w:webHidden/>
          </w:rPr>
          <w:fldChar w:fldCharType="begin"/>
        </w:r>
        <w:r>
          <w:rPr>
            <w:noProof/>
            <w:webHidden/>
          </w:rPr>
          <w:instrText xml:space="preserve"> PAGEREF _Toc171346784 \h </w:instrText>
        </w:r>
        <w:r>
          <w:rPr>
            <w:noProof/>
            <w:webHidden/>
          </w:rPr>
        </w:r>
        <w:r>
          <w:rPr>
            <w:noProof/>
            <w:webHidden/>
          </w:rPr>
          <w:fldChar w:fldCharType="separate"/>
        </w:r>
        <w:r>
          <w:rPr>
            <w:noProof/>
            <w:webHidden/>
          </w:rPr>
          <w:t>36</w:t>
        </w:r>
        <w:r>
          <w:rPr>
            <w:noProof/>
            <w:webHidden/>
          </w:rPr>
          <w:fldChar w:fldCharType="end"/>
        </w:r>
      </w:hyperlink>
    </w:p>
    <w:p w14:paraId="476A773B" w14:textId="6503BEDB" w:rsidR="008732C4" w:rsidRDefault="008732C4">
      <w:pPr>
        <w:pStyle w:val="TOC1"/>
        <w:rPr>
          <w:rFonts w:asciiTheme="minorHAnsi" w:eastAsiaTheme="minorEastAsia" w:hAnsiTheme="minorHAnsi" w:cstheme="minorBidi"/>
          <w:noProof/>
          <w:kern w:val="2"/>
          <w:lang w:eastAsia="en-IE"/>
          <w14:ligatures w14:val="standardContextual"/>
        </w:rPr>
      </w:pPr>
      <w:hyperlink w:anchor="_Toc171346785" w:history="1">
        <w:r w:rsidRPr="00C629E1">
          <w:rPr>
            <w:rStyle w:val="Hyperlink"/>
            <w:noProof/>
            <w:lang w:bidi="x-none"/>
          </w:rPr>
          <w:t>7.0</w:t>
        </w:r>
        <w:r>
          <w:rPr>
            <w:rFonts w:asciiTheme="minorHAnsi" w:eastAsiaTheme="minorEastAsia" w:hAnsiTheme="minorHAnsi" w:cstheme="minorBidi"/>
            <w:noProof/>
            <w:kern w:val="2"/>
            <w:lang w:eastAsia="en-IE"/>
            <w14:ligatures w14:val="standardContextual"/>
          </w:rPr>
          <w:tab/>
        </w:r>
        <w:r w:rsidRPr="00C629E1">
          <w:rPr>
            <w:rStyle w:val="Hyperlink"/>
            <w:noProof/>
          </w:rPr>
          <w:t>Assessment of Likely Significant Effects</w:t>
        </w:r>
        <w:r>
          <w:rPr>
            <w:noProof/>
            <w:webHidden/>
          </w:rPr>
          <w:tab/>
        </w:r>
        <w:r>
          <w:rPr>
            <w:noProof/>
            <w:webHidden/>
          </w:rPr>
          <w:fldChar w:fldCharType="begin"/>
        </w:r>
        <w:r>
          <w:rPr>
            <w:noProof/>
            <w:webHidden/>
          </w:rPr>
          <w:instrText xml:space="preserve"> PAGEREF _Toc171346785 \h </w:instrText>
        </w:r>
        <w:r>
          <w:rPr>
            <w:noProof/>
            <w:webHidden/>
          </w:rPr>
        </w:r>
        <w:r>
          <w:rPr>
            <w:noProof/>
            <w:webHidden/>
          </w:rPr>
          <w:fldChar w:fldCharType="separate"/>
        </w:r>
        <w:r>
          <w:rPr>
            <w:noProof/>
            <w:webHidden/>
          </w:rPr>
          <w:t>47</w:t>
        </w:r>
        <w:r>
          <w:rPr>
            <w:noProof/>
            <w:webHidden/>
          </w:rPr>
          <w:fldChar w:fldCharType="end"/>
        </w:r>
      </w:hyperlink>
    </w:p>
    <w:p w14:paraId="5A6CF351" w14:textId="423B926D" w:rsidR="008732C4" w:rsidRDefault="008732C4">
      <w:pPr>
        <w:pStyle w:val="TOC1"/>
        <w:rPr>
          <w:rFonts w:asciiTheme="minorHAnsi" w:eastAsiaTheme="minorEastAsia" w:hAnsiTheme="minorHAnsi" w:cstheme="minorBidi"/>
          <w:noProof/>
          <w:kern w:val="2"/>
          <w:lang w:eastAsia="en-IE"/>
          <w14:ligatures w14:val="standardContextual"/>
        </w:rPr>
      </w:pPr>
      <w:hyperlink w:anchor="_Toc171346786" w:history="1">
        <w:r w:rsidRPr="00C629E1">
          <w:rPr>
            <w:rStyle w:val="Hyperlink"/>
            <w:noProof/>
            <w:lang w:bidi="x-none"/>
          </w:rPr>
          <w:t>8.0</w:t>
        </w:r>
        <w:r>
          <w:rPr>
            <w:rFonts w:asciiTheme="minorHAnsi" w:eastAsiaTheme="minorEastAsia" w:hAnsiTheme="minorHAnsi" w:cstheme="minorBidi"/>
            <w:noProof/>
            <w:kern w:val="2"/>
            <w:lang w:eastAsia="en-IE"/>
            <w14:ligatures w14:val="standardContextual"/>
          </w:rPr>
          <w:tab/>
        </w:r>
        <w:r w:rsidRPr="00C629E1">
          <w:rPr>
            <w:rStyle w:val="Hyperlink"/>
            <w:noProof/>
          </w:rPr>
          <w:t>Air Quality</w:t>
        </w:r>
        <w:r>
          <w:rPr>
            <w:noProof/>
            <w:webHidden/>
          </w:rPr>
          <w:tab/>
        </w:r>
        <w:r>
          <w:rPr>
            <w:noProof/>
            <w:webHidden/>
          </w:rPr>
          <w:fldChar w:fldCharType="begin"/>
        </w:r>
        <w:r>
          <w:rPr>
            <w:noProof/>
            <w:webHidden/>
          </w:rPr>
          <w:instrText xml:space="preserve"> PAGEREF _Toc171346786 \h </w:instrText>
        </w:r>
        <w:r>
          <w:rPr>
            <w:noProof/>
            <w:webHidden/>
          </w:rPr>
        </w:r>
        <w:r>
          <w:rPr>
            <w:noProof/>
            <w:webHidden/>
          </w:rPr>
          <w:fldChar w:fldCharType="separate"/>
        </w:r>
        <w:r>
          <w:rPr>
            <w:noProof/>
            <w:webHidden/>
          </w:rPr>
          <w:t>48</w:t>
        </w:r>
        <w:r>
          <w:rPr>
            <w:noProof/>
            <w:webHidden/>
          </w:rPr>
          <w:fldChar w:fldCharType="end"/>
        </w:r>
      </w:hyperlink>
    </w:p>
    <w:p w14:paraId="20BF3EF2" w14:textId="7D670907" w:rsidR="008732C4" w:rsidRDefault="008732C4">
      <w:pPr>
        <w:pStyle w:val="TOC1"/>
        <w:rPr>
          <w:rFonts w:asciiTheme="minorHAnsi" w:eastAsiaTheme="minorEastAsia" w:hAnsiTheme="minorHAnsi" w:cstheme="minorBidi"/>
          <w:noProof/>
          <w:kern w:val="2"/>
          <w:lang w:eastAsia="en-IE"/>
          <w14:ligatures w14:val="standardContextual"/>
        </w:rPr>
      </w:pPr>
      <w:hyperlink w:anchor="_Toc171346787" w:history="1">
        <w:r w:rsidRPr="00C629E1">
          <w:rPr>
            <w:rStyle w:val="Hyperlink"/>
            <w:noProof/>
            <w:lang w:bidi="x-none"/>
          </w:rPr>
          <w:t>9.0</w:t>
        </w:r>
        <w:r>
          <w:rPr>
            <w:rFonts w:asciiTheme="minorHAnsi" w:eastAsiaTheme="minorEastAsia" w:hAnsiTheme="minorHAnsi" w:cstheme="minorBidi"/>
            <w:noProof/>
            <w:kern w:val="2"/>
            <w:lang w:eastAsia="en-IE"/>
            <w14:ligatures w14:val="standardContextual"/>
          </w:rPr>
          <w:tab/>
        </w:r>
        <w:r w:rsidRPr="00C629E1">
          <w:rPr>
            <w:rStyle w:val="Hyperlink"/>
            <w:noProof/>
          </w:rPr>
          <w:t>Cultural Heritage</w:t>
        </w:r>
        <w:r>
          <w:rPr>
            <w:noProof/>
            <w:webHidden/>
          </w:rPr>
          <w:tab/>
        </w:r>
        <w:r>
          <w:rPr>
            <w:noProof/>
            <w:webHidden/>
          </w:rPr>
          <w:fldChar w:fldCharType="begin"/>
        </w:r>
        <w:r>
          <w:rPr>
            <w:noProof/>
            <w:webHidden/>
          </w:rPr>
          <w:instrText xml:space="preserve"> PAGEREF _Toc171346787 \h </w:instrText>
        </w:r>
        <w:r>
          <w:rPr>
            <w:noProof/>
            <w:webHidden/>
          </w:rPr>
        </w:r>
        <w:r>
          <w:rPr>
            <w:noProof/>
            <w:webHidden/>
          </w:rPr>
          <w:fldChar w:fldCharType="separate"/>
        </w:r>
        <w:r>
          <w:rPr>
            <w:noProof/>
            <w:webHidden/>
          </w:rPr>
          <w:t>52</w:t>
        </w:r>
        <w:r>
          <w:rPr>
            <w:noProof/>
            <w:webHidden/>
          </w:rPr>
          <w:fldChar w:fldCharType="end"/>
        </w:r>
      </w:hyperlink>
    </w:p>
    <w:p w14:paraId="63DE9F8E" w14:textId="60DEFE3F" w:rsidR="008732C4" w:rsidRDefault="008732C4">
      <w:pPr>
        <w:pStyle w:val="TOC1"/>
        <w:tabs>
          <w:tab w:val="left" w:pos="720"/>
        </w:tabs>
        <w:rPr>
          <w:rFonts w:asciiTheme="minorHAnsi" w:eastAsiaTheme="minorEastAsia" w:hAnsiTheme="minorHAnsi" w:cstheme="minorBidi"/>
          <w:noProof/>
          <w:kern w:val="2"/>
          <w:lang w:eastAsia="en-IE"/>
          <w14:ligatures w14:val="standardContextual"/>
        </w:rPr>
      </w:pPr>
      <w:hyperlink w:anchor="_Toc171346788" w:history="1">
        <w:r w:rsidRPr="00C629E1">
          <w:rPr>
            <w:rStyle w:val="Hyperlink"/>
            <w:noProof/>
            <w:lang w:bidi="x-none"/>
          </w:rPr>
          <w:t>10.0</w:t>
        </w:r>
        <w:r>
          <w:rPr>
            <w:rFonts w:asciiTheme="minorHAnsi" w:eastAsiaTheme="minorEastAsia" w:hAnsiTheme="minorHAnsi" w:cstheme="minorBidi"/>
            <w:noProof/>
            <w:kern w:val="2"/>
            <w:lang w:eastAsia="en-IE"/>
            <w14:ligatures w14:val="standardContextual"/>
          </w:rPr>
          <w:tab/>
        </w:r>
        <w:r w:rsidRPr="00C629E1">
          <w:rPr>
            <w:rStyle w:val="Hyperlink"/>
            <w:noProof/>
          </w:rPr>
          <w:t>Biodiversity</w:t>
        </w:r>
        <w:r>
          <w:rPr>
            <w:noProof/>
            <w:webHidden/>
          </w:rPr>
          <w:tab/>
        </w:r>
        <w:r>
          <w:rPr>
            <w:noProof/>
            <w:webHidden/>
          </w:rPr>
          <w:fldChar w:fldCharType="begin"/>
        </w:r>
        <w:r>
          <w:rPr>
            <w:noProof/>
            <w:webHidden/>
          </w:rPr>
          <w:instrText xml:space="preserve"> PAGEREF _Toc171346788 \h </w:instrText>
        </w:r>
        <w:r>
          <w:rPr>
            <w:noProof/>
            <w:webHidden/>
          </w:rPr>
        </w:r>
        <w:r>
          <w:rPr>
            <w:noProof/>
            <w:webHidden/>
          </w:rPr>
          <w:fldChar w:fldCharType="separate"/>
        </w:r>
        <w:r>
          <w:rPr>
            <w:noProof/>
            <w:webHidden/>
          </w:rPr>
          <w:t>58</w:t>
        </w:r>
        <w:r>
          <w:rPr>
            <w:noProof/>
            <w:webHidden/>
          </w:rPr>
          <w:fldChar w:fldCharType="end"/>
        </w:r>
      </w:hyperlink>
    </w:p>
    <w:p w14:paraId="6E9BFC06" w14:textId="39BE890E" w:rsidR="008732C4" w:rsidRDefault="008732C4">
      <w:pPr>
        <w:pStyle w:val="TOC1"/>
        <w:tabs>
          <w:tab w:val="left" w:pos="720"/>
        </w:tabs>
        <w:rPr>
          <w:rFonts w:asciiTheme="minorHAnsi" w:eastAsiaTheme="minorEastAsia" w:hAnsiTheme="minorHAnsi" w:cstheme="minorBidi"/>
          <w:noProof/>
          <w:kern w:val="2"/>
          <w:lang w:eastAsia="en-IE"/>
          <w14:ligatures w14:val="standardContextual"/>
        </w:rPr>
      </w:pPr>
      <w:hyperlink w:anchor="_Toc171346789" w:history="1">
        <w:r w:rsidRPr="00C629E1">
          <w:rPr>
            <w:rStyle w:val="Hyperlink"/>
            <w:noProof/>
            <w:lang w:bidi="x-none"/>
          </w:rPr>
          <w:t>11.0</w:t>
        </w:r>
        <w:r>
          <w:rPr>
            <w:rFonts w:asciiTheme="minorHAnsi" w:eastAsiaTheme="minorEastAsia" w:hAnsiTheme="minorHAnsi" w:cstheme="minorBidi"/>
            <w:noProof/>
            <w:kern w:val="2"/>
            <w:lang w:eastAsia="en-IE"/>
            <w14:ligatures w14:val="standardContextual"/>
          </w:rPr>
          <w:tab/>
        </w:r>
        <w:r w:rsidRPr="00C629E1">
          <w:rPr>
            <w:rStyle w:val="Hyperlink"/>
            <w:noProof/>
          </w:rPr>
          <w:t>Landscape and Visual</w:t>
        </w:r>
        <w:r>
          <w:rPr>
            <w:noProof/>
            <w:webHidden/>
          </w:rPr>
          <w:tab/>
        </w:r>
        <w:r>
          <w:rPr>
            <w:noProof/>
            <w:webHidden/>
          </w:rPr>
          <w:fldChar w:fldCharType="begin"/>
        </w:r>
        <w:r>
          <w:rPr>
            <w:noProof/>
            <w:webHidden/>
          </w:rPr>
          <w:instrText xml:space="preserve"> PAGEREF _Toc171346789 \h </w:instrText>
        </w:r>
        <w:r>
          <w:rPr>
            <w:noProof/>
            <w:webHidden/>
          </w:rPr>
        </w:r>
        <w:r>
          <w:rPr>
            <w:noProof/>
            <w:webHidden/>
          </w:rPr>
          <w:fldChar w:fldCharType="separate"/>
        </w:r>
        <w:r>
          <w:rPr>
            <w:noProof/>
            <w:webHidden/>
          </w:rPr>
          <w:t>63</w:t>
        </w:r>
        <w:r>
          <w:rPr>
            <w:noProof/>
            <w:webHidden/>
          </w:rPr>
          <w:fldChar w:fldCharType="end"/>
        </w:r>
      </w:hyperlink>
    </w:p>
    <w:p w14:paraId="71207287" w14:textId="19C9CE65" w:rsidR="008732C4" w:rsidRDefault="008732C4">
      <w:pPr>
        <w:pStyle w:val="TOC1"/>
        <w:tabs>
          <w:tab w:val="left" w:pos="720"/>
        </w:tabs>
        <w:rPr>
          <w:rFonts w:asciiTheme="minorHAnsi" w:eastAsiaTheme="minorEastAsia" w:hAnsiTheme="minorHAnsi" w:cstheme="minorBidi"/>
          <w:noProof/>
          <w:kern w:val="2"/>
          <w:lang w:eastAsia="en-IE"/>
          <w14:ligatures w14:val="standardContextual"/>
        </w:rPr>
      </w:pPr>
      <w:hyperlink w:anchor="_Toc171346790" w:history="1">
        <w:r w:rsidRPr="00C629E1">
          <w:rPr>
            <w:rStyle w:val="Hyperlink"/>
            <w:noProof/>
            <w:lang w:bidi="x-none"/>
          </w:rPr>
          <w:t>12.0</w:t>
        </w:r>
        <w:r>
          <w:rPr>
            <w:rFonts w:asciiTheme="minorHAnsi" w:eastAsiaTheme="minorEastAsia" w:hAnsiTheme="minorHAnsi" w:cstheme="minorBidi"/>
            <w:noProof/>
            <w:kern w:val="2"/>
            <w:lang w:eastAsia="en-IE"/>
            <w14:ligatures w14:val="standardContextual"/>
          </w:rPr>
          <w:tab/>
        </w:r>
        <w:r w:rsidRPr="00C629E1">
          <w:rPr>
            <w:rStyle w:val="Hyperlink"/>
            <w:noProof/>
          </w:rPr>
          <w:t>Noise and Vibration</w:t>
        </w:r>
        <w:r>
          <w:rPr>
            <w:noProof/>
            <w:webHidden/>
          </w:rPr>
          <w:tab/>
        </w:r>
        <w:r>
          <w:rPr>
            <w:noProof/>
            <w:webHidden/>
          </w:rPr>
          <w:fldChar w:fldCharType="begin"/>
        </w:r>
        <w:r>
          <w:rPr>
            <w:noProof/>
            <w:webHidden/>
          </w:rPr>
          <w:instrText xml:space="preserve"> PAGEREF _Toc171346790 \h </w:instrText>
        </w:r>
        <w:r>
          <w:rPr>
            <w:noProof/>
            <w:webHidden/>
          </w:rPr>
        </w:r>
        <w:r>
          <w:rPr>
            <w:noProof/>
            <w:webHidden/>
          </w:rPr>
          <w:fldChar w:fldCharType="separate"/>
        </w:r>
        <w:r>
          <w:rPr>
            <w:noProof/>
            <w:webHidden/>
          </w:rPr>
          <w:t>69</w:t>
        </w:r>
        <w:r>
          <w:rPr>
            <w:noProof/>
            <w:webHidden/>
          </w:rPr>
          <w:fldChar w:fldCharType="end"/>
        </w:r>
      </w:hyperlink>
    </w:p>
    <w:p w14:paraId="04D6AB18" w14:textId="137081DB" w:rsidR="008732C4" w:rsidRDefault="008732C4">
      <w:pPr>
        <w:pStyle w:val="TOC1"/>
        <w:tabs>
          <w:tab w:val="left" w:pos="720"/>
        </w:tabs>
        <w:rPr>
          <w:rFonts w:asciiTheme="minorHAnsi" w:eastAsiaTheme="minorEastAsia" w:hAnsiTheme="minorHAnsi" w:cstheme="minorBidi"/>
          <w:noProof/>
          <w:kern w:val="2"/>
          <w:lang w:eastAsia="en-IE"/>
          <w14:ligatures w14:val="standardContextual"/>
        </w:rPr>
      </w:pPr>
      <w:hyperlink w:anchor="_Toc171346791" w:history="1">
        <w:r w:rsidRPr="00C629E1">
          <w:rPr>
            <w:rStyle w:val="Hyperlink"/>
            <w:noProof/>
            <w:lang w:bidi="x-none"/>
          </w:rPr>
          <w:t>13.0</w:t>
        </w:r>
        <w:r>
          <w:rPr>
            <w:rFonts w:asciiTheme="minorHAnsi" w:eastAsiaTheme="minorEastAsia" w:hAnsiTheme="minorHAnsi" w:cstheme="minorBidi"/>
            <w:noProof/>
            <w:kern w:val="2"/>
            <w:lang w:eastAsia="en-IE"/>
            <w14:ligatures w14:val="standardContextual"/>
          </w:rPr>
          <w:tab/>
        </w:r>
        <w:r w:rsidRPr="00C629E1">
          <w:rPr>
            <w:rStyle w:val="Hyperlink"/>
            <w:noProof/>
          </w:rPr>
          <w:t>Water Environment</w:t>
        </w:r>
        <w:r>
          <w:rPr>
            <w:noProof/>
            <w:webHidden/>
          </w:rPr>
          <w:tab/>
        </w:r>
        <w:r>
          <w:rPr>
            <w:noProof/>
            <w:webHidden/>
          </w:rPr>
          <w:fldChar w:fldCharType="begin"/>
        </w:r>
        <w:r>
          <w:rPr>
            <w:noProof/>
            <w:webHidden/>
          </w:rPr>
          <w:instrText xml:space="preserve"> PAGEREF _Toc171346791 \h </w:instrText>
        </w:r>
        <w:r>
          <w:rPr>
            <w:noProof/>
            <w:webHidden/>
          </w:rPr>
        </w:r>
        <w:r>
          <w:rPr>
            <w:noProof/>
            <w:webHidden/>
          </w:rPr>
          <w:fldChar w:fldCharType="separate"/>
        </w:r>
        <w:r>
          <w:rPr>
            <w:noProof/>
            <w:webHidden/>
          </w:rPr>
          <w:t>73</w:t>
        </w:r>
        <w:r>
          <w:rPr>
            <w:noProof/>
            <w:webHidden/>
          </w:rPr>
          <w:fldChar w:fldCharType="end"/>
        </w:r>
      </w:hyperlink>
    </w:p>
    <w:p w14:paraId="3A6E698C" w14:textId="37CEAE6D" w:rsidR="008732C4" w:rsidRDefault="008732C4">
      <w:pPr>
        <w:pStyle w:val="TOC1"/>
        <w:tabs>
          <w:tab w:val="left" w:pos="720"/>
        </w:tabs>
        <w:rPr>
          <w:rFonts w:asciiTheme="minorHAnsi" w:eastAsiaTheme="minorEastAsia" w:hAnsiTheme="minorHAnsi" w:cstheme="minorBidi"/>
          <w:noProof/>
          <w:kern w:val="2"/>
          <w:lang w:eastAsia="en-IE"/>
          <w14:ligatures w14:val="standardContextual"/>
        </w:rPr>
      </w:pPr>
      <w:hyperlink w:anchor="_Toc171346792" w:history="1">
        <w:r w:rsidRPr="00C629E1">
          <w:rPr>
            <w:rStyle w:val="Hyperlink"/>
            <w:noProof/>
            <w:lang w:bidi="x-none"/>
          </w:rPr>
          <w:t>14.0</w:t>
        </w:r>
        <w:r>
          <w:rPr>
            <w:rFonts w:asciiTheme="minorHAnsi" w:eastAsiaTheme="minorEastAsia" w:hAnsiTheme="minorHAnsi" w:cstheme="minorBidi"/>
            <w:noProof/>
            <w:kern w:val="2"/>
            <w:lang w:eastAsia="en-IE"/>
            <w14:ligatures w14:val="standardContextual"/>
          </w:rPr>
          <w:tab/>
        </w:r>
        <w:r w:rsidRPr="00C629E1">
          <w:rPr>
            <w:rStyle w:val="Hyperlink"/>
            <w:noProof/>
          </w:rPr>
          <w:t>Land and Soils</w:t>
        </w:r>
        <w:r>
          <w:rPr>
            <w:noProof/>
            <w:webHidden/>
          </w:rPr>
          <w:tab/>
        </w:r>
        <w:r>
          <w:rPr>
            <w:noProof/>
            <w:webHidden/>
          </w:rPr>
          <w:fldChar w:fldCharType="begin"/>
        </w:r>
        <w:r>
          <w:rPr>
            <w:noProof/>
            <w:webHidden/>
          </w:rPr>
          <w:instrText xml:space="preserve"> PAGEREF _Toc171346792 \h </w:instrText>
        </w:r>
        <w:r>
          <w:rPr>
            <w:noProof/>
            <w:webHidden/>
          </w:rPr>
        </w:r>
        <w:r>
          <w:rPr>
            <w:noProof/>
            <w:webHidden/>
          </w:rPr>
          <w:fldChar w:fldCharType="separate"/>
        </w:r>
        <w:r>
          <w:rPr>
            <w:noProof/>
            <w:webHidden/>
          </w:rPr>
          <w:t>77</w:t>
        </w:r>
        <w:r>
          <w:rPr>
            <w:noProof/>
            <w:webHidden/>
          </w:rPr>
          <w:fldChar w:fldCharType="end"/>
        </w:r>
      </w:hyperlink>
    </w:p>
    <w:p w14:paraId="38D3F1AF" w14:textId="7E4D562E" w:rsidR="008732C4" w:rsidRDefault="008732C4">
      <w:pPr>
        <w:pStyle w:val="TOC1"/>
        <w:tabs>
          <w:tab w:val="left" w:pos="720"/>
        </w:tabs>
        <w:rPr>
          <w:rFonts w:asciiTheme="minorHAnsi" w:eastAsiaTheme="minorEastAsia" w:hAnsiTheme="minorHAnsi" w:cstheme="minorBidi"/>
          <w:noProof/>
          <w:kern w:val="2"/>
          <w:lang w:eastAsia="en-IE"/>
          <w14:ligatures w14:val="standardContextual"/>
        </w:rPr>
      </w:pPr>
      <w:hyperlink w:anchor="_Toc171346793" w:history="1">
        <w:r w:rsidRPr="00C629E1">
          <w:rPr>
            <w:rStyle w:val="Hyperlink"/>
            <w:noProof/>
            <w:lang w:bidi="x-none"/>
          </w:rPr>
          <w:t>15.0</w:t>
        </w:r>
        <w:r>
          <w:rPr>
            <w:rFonts w:asciiTheme="minorHAnsi" w:eastAsiaTheme="minorEastAsia" w:hAnsiTheme="minorHAnsi" w:cstheme="minorBidi"/>
            <w:noProof/>
            <w:kern w:val="2"/>
            <w:lang w:eastAsia="en-IE"/>
            <w14:ligatures w14:val="standardContextual"/>
          </w:rPr>
          <w:tab/>
        </w:r>
        <w:r w:rsidRPr="00C629E1">
          <w:rPr>
            <w:rStyle w:val="Hyperlink"/>
            <w:noProof/>
          </w:rPr>
          <w:t>Traffic and Transport</w:t>
        </w:r>
        <w:r>
          <w:rPr>
            <w:noProof/>
            <w:webHidden/>
          </w:rPr>
          <w:tab/>
        </w:r>
        <w:r>
          <w:rPr>
            <w:noProof/>
            <w:webHidden/>
          </w:rPr>
          <w:fldChar w:fldCharType="begin"/>
        </w:r>
        <w:r>
          <w:rPr>
            <w:noProof/>
            <w:webHidden/>
          </w:rPr>
          <w:instrText xml:space="preserve"> PAGEREF _Toc171346793 \h </w:instrText>
        </w:r>
        <w:r>
          <w:rPr>
            <w:noProof/>
            <w:webHidden/>
          </w:rPr>
        </w:r>
        <w:r>
          <w:rPr>
            <w:noProof/>
            <w:webHidden/>
          </w:rPr>
          <w:fldChar w:fldCharType="separate"/>
        </w:r>
        <w:r>
          <w:rPr>
            <w:noProof/>
            <w:webHidden/>
          </w:rPr>
          <w:t>80</w:t>
        </w:r>
        <w:r>
          <w:rPr>
            <w:noProof/>
            <w:webHidden/>
          </w:rPr>
          <w:fldChar w:fldCharType="end"/>
        </w:r>
      </w:hyperlink>
    </w:p>
    <w:p w14:paraId="35EB878A" w14:textId="0E6101AE" w:rsidR="008732C4" w:rsidRDefault="008732C4">
      <w:pPr>
        <w:pStyle w:val="TOC1"/>
        <w:tabs>
          <w:tab w:val="left" w:pos="720"/>
        </w:tabs>
        <w:rPr>
          <w:rFonts w:asciiTheme="minorHAnsi" w:eastAsiaTheme="minorEastAsia" w:hAnsiTheme="minorHAnsi" w:cstheme="minorBidi"/>
          <w:noProof/>
          <w:kern w:val="2"/>
          <w:lang w:eastAsia="en-IE"/>
          <w14:ligatures w14:val="standardContextual"/>
        </w:rPr>
      </w:pPr>
      <w:hyperlink w:anchor="_Toc171346794" w:history="1">
        <w:r w:rsidRPr="00C629E1">
          <w:rPr>
            <w:rStyle w:val="Hyperlink"/>
            <w:noProof/>
            <w:lang w:bidi="x-none"/>
          </w:rPr>
          <w:t>16.0</w:t>
        </w:r>
        <w:r>
          <w:rPr>
            <w:rFonts w:asciiTheme="minorHAnsi" w:eastAsiaTheme="minorEastAsia" w:hAnsiTheme="minorHAnsi" w:cstheme="minorBidi"/>
            <w:noProof/>
            <w:kern w:val="2"/>
            <w:lang w:eastAsia="en-IE"/>
            <w14:ligatures w14:val="standardContextual"/>
          </w:rPr>
          <w:tab/>
        </w:r>
        <w:r w:rsidRPr="00C629E1">
          <w:rPr>
            <w:rStyle w:val="Hyperlink"/>
            <w:noProof/>
          </w:rPr>
          <w:t>Population and Human Health</w:t>
        </w:r>
        <w:r>
          <w:rPr>
            <w:noProof/>
            <w:webHidden/>
          </w:rPr>
          <w:tab/>
        </w:r>
        <w:r>
          <w:rPr>
            <w:noProof/>
            <w:webHidden/>
          </w:rPr>
          <w:fldChar w:fldCharType="begin"/>
        </w:r>
        <w:r>
          <w:rPr>
            <w:noProof/>
            <w:webHidden/>
          </w:rPr>
          <w:instrText xml:space="preserve"> PAGEREF _Toc171346794 \h </w:instrText>
        </w:r>
        <w:r>
          <w:rPr>
            <w:noProof/>
            <w:webHidden/>
          </w:rPr>
        </w:r>
        <w:r>
          <w:rPr>
            <w:noProof/>
            <w:webHidden/>
          </w:rPr>
          <w:fldChar w:fldCharType="separate"/>
        </w:r>
        <w:r>
          <w:rPr>
            <w:noProof/>
            <w:webHidden/>
          </w:rPr>
          <w:t>85</w:t>
        </w:r>
        <w:r>
          <w:rPr>
            <w:noProof/>
            <w:webHidden/>
          </w:rPr>
          <w:fldChar w:fldCharType="end"/>
        </w:r>
      </w:hyperlink>
    </w:p>
    <w:p w14:paraId="27BB7F1E" w14:textId="48E295CD" w:rsidR="008732C4" w:rsidRDefault="008732C4">
      <w:pPr>
        <w:pStyle w:val="TOC1"/>
        <w:tabs>
          <w:tab w:val="left" w:pos="720"/>
        </w:tabs>
        <w:rPr>
          <w:rFonts w:asciiTheme="minorHAnsi" w:eastAsiaTheme="minorEastAsia" w:hAnsiTheme="minorHAnsi" w:cstheme="minorBidi"/>
          <w:noProof/>
          <w:kern w:val="2"/>
          <w:lang w:eastAsia="en-IE"/>
          <w14:ligatures w14:val="standardContextual"/>
        </w:rPr>
      </w:pPr>
      <w:hyperlink w:anchor="_Toc171346795" w:history="1">
        <w:r w:rsidRPr="00C629E1">
          <w:rPr>
            <w:rStyle w:val="Hyperlink"/>
            <w:noProof/>
            <w:lang w:bidi="x-none"/>
          </w:rPr>
          <w:t>17.0</w:t>
        </w:r>
        <w:r>
          <w:rPr>
            <w:rFonts w:asciiTheme="minorHAnsi" w:eastAsiaTheme="minorEastAsia" w:hAnsiTheme="minorHAnsi" w:cstheme="minorBidi"/>
            <w:noProof/>
            <w:kern w:val="2"/>
            <w:lang w:eastAsia="en-IE"/>
            <w14:ligatures w14:val="standardContextual"/>
          </w:rPr>
          <w:tab/>
        </w:r>
        <w:r w:rsidRPr="00C629E1">
          <w:rPr>
            <w:rStyle w:val="Hyperlink"/>
            <w:noProof/>
          </w:rPr>
          <w:t>Material Assets</w:t>
        </w:r>
        <w:r>
          <w:rPr>
            <w:noProof/>
            <w:webHidden/>
          </w:rPr>
          <w:tab/>
        </w:r>
        <w:r>
          <w:rPr>
            <w:noProof/>
            <w:webHidden/>
          </w:rPr>
          <w:fldChar w:fldCharType="begin"/>
        </w:r>
        <w:r>
          <w:rPr>
            <w:noProof/>
            <w:webHidden/>
          </w:rPr>
          <w:instrText xml:space="preserve"> PAGEREF _Toc171346795 \h </w:instrText>
        </w:r>
        <w:r>
          <w:rPr>
            <w:noProof/>
            <w:webHidden/>
          </w:rPr>
        </w:r>
        <w:r>
          <w:rPr>
            <w:noProof/>
            <w:webHidden/>
          </w:rPr>
          <w:fldChar w:fldCharType="separate"/>
        </w:r>
        <w:r>
          <w:rPr>
            <w:noProof/>
            <w:webHidden/>
          </w:rPr>
          <w:t>87</w:t>
        </w:r>
        <w:r>
          <w:rPr>
            <w:noProof/>
            <w:webHidden/>
          </w:rPr>
          <w:fldChar w:fldCharType="end"/>
        </w:r>
      </w:hyperlink>
    </w:p>
    <w:p w14:paraId="5F086E66" w14:textId="2DC9E452" w:rsidR="008732C4" w:rsidRDefault="008732C4">
      <w:pPr>
        <w:pStyle w:val="TOC1"/>
        <w:tabs>
          <w:tab w:val="left" w:pos="720"/>
        </w:tabs>
        <w:rPr>
          <w:rFonts w:asciiTheme="minorHAnsi" w:eastAsiaTheme="minorEastAsia" w:hAnsiTheme="minorHAnsi" w:cstheme="minorBidi"/>
          <w:noProof/>
          <w:kern w:val="2"/>
          <w:lang w:eastAsia="en-IE"/>
          <w14:ligatures w14:val="standardContextual"/>
        </w:rPr>
      </w:pPr>
      <w:hyperlink w:anchor="_Toc171346796" w:history="1">
        <w:r w:rsidRPr="00C629E1">
          <w:rPr>
            <w:rStyle w:val="Hyperlink"/>
            <w:noProof/>
            <w:lang w:bidi="x-none"/>
          </w:rPr>
          <w:t>18.0</w:t>
        </w:r>
        <w:r>
          <w:rPr>
            <w:rFonts w:asciiTheme="minorHAnsi" w:eastAsiaTheme="minorEastAsia" w:hAnsiTheme="minorHAnsi" w:cstheme="minorBidi"/>
            <w:noProof/>
            <w:kern w:val="2"/>
            <w:lang w:eastAsia="en-IE"/>
            <w14:ligatures w14:val="standardContextual"/>
          </w:rPr>
          <w:tab/>
        </w:r>
        <w:r w:rsidRPr="00C629E1">
          <w:rPr>
            <w:rStyle w:val="Hyperlink"/>
            <w:noProof/>
          </w:rPr>
          <w:t>Climate</w:t>
        </w:r>
        <w:r>
          <w:rPr>
            <w:noProof/>
            <w:webHidden/>
          </w:rPr>
          <w:tab/>
        </w:r>
        <w:r>
          <w:rPr>
            <w:noProof/>
            <w:webHidden/>
          </w:rPr>
          <w:fldChar w:fldCharType="begin"/>
        </w:r>
        <w:r>
          <w:rPr>
            <w:noProof/>
            <w:webHidden/>
          </w:rPr>
          <w:instrText xml:space="preserve"> PAGEREF _Toc171346796 \h </w:instrText>
        </w:r>
        <w:r>
          <w:rPr>
            <w:noProof/>
            <w:webHidden/>
          </w:rPr>
        </w:r>
        <w:r>
          <w:rPr>
            <w:noProof/>
            <w:webHidden/>
          </w:rPr>
          <w:fldChar w:fldCharType="separate"/>
        </w:r>
        <w:r>
          <w:rPr>
            <w:noProof/>
            <w:webHidden/>
          </w:rPr>
          <w:t>92</w:t>
        </w:r>
        <w:r>
          <w:rPr>
            <w:noProof/>
            <w:webHidden/>
          </w:rPr>
          <w:fldChar w:fldCharType="end"/>
        </w:r>
      </w:hyperlink>
    </w:p>
    <w:p w14:paraId="61802A5A" w14:textId="69D19E59" w:rsidR="008732C4" w:rsidRDefault="008732C4">
      <w:pPr>
        <w:pStyle w:val="TOC1"/>
        <w:tabs>
          <w:tab w:val="left" w:pos="720"/>
        </w:tabs>
        <w:rPr>
          <w:rFonts w:asciiTheme="minorHAnsi" w:eastAsiaTheme="minorEastAsia" w:hAnsiTheme="minorHAnsi" w:cstheme="minorBidi"/>
          <w:noProof/>
          <w:kern w:val="2"/>
          <w:lang w:eastAsia="en-IE"/>
          <w14:ligatures w14:val="standardContextual"/>
        </w:rPr>
      </w:pPr>
      <w:hyperlink w:anchor="_Toc171346797" w:history="1">
        <w:r w:rsidRPr="00C629E1">
          <w:rPr>
            <w:rStyle w:val="Hyperlink"/>
            <w:noProof/>
            <w:lang w:bidi="x-none"/>
          </w:rPr>
          <w:t>19.0</w:t>
        </w:r>
        <w:r>
          <w:rPr>
            <w:rFonts w:asciiTheme="minorHAnsi" w:eastAsiaTheme="minorEastAsia" w:hAnsiTheme="minorHAnsi" w:cstheme="minorBidi"/>
            <w:noProof/>
            <w:kern w:val="2"/>
            <w:lang w:eastAsia="en-IE"/>
            <w14:ligatures w14:val="standardContextual"/>
          </w:rPr>
          <w:tab/>
        </w:r>
        <w:r w:rsidRPr="00C629E1">
          <w:rPr>
            <w:rStyle w:val="Hyperlink"/>
            <w:noProof/>
          </w:rPr>
          <w:t>Waste Management</w:t>
        </w:r>
        <w:r>
          <w:rPr>
            <w:noProof/>
            <w:webHidden/>
          </w:rPr>
          <w:tab/>
        </w:r>
        <w:r>
          <w:rPr>
            <w:noProof/>
            <w:webHidden/>
          </w:rPr>
          <w:fldChar w:fldCharType="begin"/>
        </w:r>
        <w:r>
          <w:rPr>
            <w:noProof/>
            <w:webHidden/>
          </w:rPr>
          <w:instrText xml:space="preserve"> PAGEREF _Toc171346797 \h </w:instrText>
        </w:r>
        <w:r>
          <w:rPr>
            <w:noProof/>
            <w:webHidden/>
          </w:rPr>
        </w:r>
        <w:r>
          <w:rPr>
            <w:noProof/>
            <w:webHidden/>
          </w:rPr>
          <w:fldChar w:fldCharType="separate"/>
        </w:r>
        <w:r>
          <w:rPr>
            <w:noProof/>
            <w:webHidden/>
          </w:rPr>
          <w:t>96</w:t>
        </w:r>
        <w:r>
          <w:rPr>
            <w:noProof/>
            <w:webHidden/>
          </w:rPr>
          <w:fldChar w:fldCharType="end"/>
        </w:r>
      </w:hyperlink>
    </w:p>
    <w:p w14:paraId="0CE59CBC" w14:textId="18C6D7C6" w:rsidR="008732C4" w:rsidRDefault="008732C4">
      <w:pPr>
        <w:pStyle w:val="TOC1"/>
        <w:tabs>
          <w:tab w:val="left" w:pos="720"/>
        </w:tabs>
        <w:rPr>
          <w:rFonts w:asciiTheme="minorHAnsi" w:eastAsiaTheme="minorEastAsia" w:hAnsiTheme="minorHAnsi" w:cstheme="minorBidi"/>
          <w:noProof/>
          <w:kern w:val="2"/>
          <w:lang w:eastAsia="en-IE"/>
          <w14:ligatures w14:val="standardContextual"/>
        </w:rPr>
      </w:pPr>
      <w:hyperlink w:anchor="_Toc171346798" w:history="1">
        <w:r w:rsidRPr="00C629E1">
          <w:rPr>
            <w:rStyle w:val="Hyperlink"/>
            <w:noProof/>
            <w:lang w:bidi="x-none"/>
          </w:rPr>
          <w:t>20.0</w:t>
        </w:r>
        <w:r>
          <w:rPr>
            <w:rFonts w:asciiTheme="minorHAnsi" w:eastAsiaTheme="minorEastAsia" w:hAnsiTheme="minorHAnsi" w:cstheme="minorBidi"/>
            <w:noProof/>
            <w:kern w:val="2"/>
            <w:lang w:eastAsia="en-IE"/>
            <w14:ligatures w14:val="standardContextual"/>
          </w:rPr>
          <w:tab/>
        </w:r>
        <w:r w:rsidRPr="00C629E1">
          <w:rPr>
            <w:rStyle w:val="Hyperlink"/>
            <w:noProof/>
          </w:rPr>
          <w:t>Major Accidents and Disasters</w:t>
        </w:r>
        <w:r>
          <w:rPr>
            <w:noProof/>
            <w:webHidden/>
          </w:rPr>
          <w:tab/>
        </w:r>
        <w:r>
          <w:rPr>
            <w:noProof/>
            <w:webHidden/>
          </w:rPr>
          <w:fldChar w:fldCharType="begin"/>
        </w:r>
        <w:r>
          <w:rPr>
            <w:noProof/>
            <w:webHidden/>
          </w:rPr>
          <w:instrText xml:space="preserve"> PAGEREF _Toc171346798 \h </w:instrText>
        </w:r>
        <w:r>
          <w:rPr>
            <w:noProof/>
            <w:webHidden/>
          </w:rPr>
        </w:r>
        <w:r>
          <w:rPr>
            <w:noProof/>
            <w:webHidden/>
          </w:rPr>
          <w:fldChar w:fldCharType="separate"/>
        </w:r>
        <w:r>
          <w:rPr>
            <w:noProof/>
            <w:webHidden/>
          </w:rPr>
          <w:t>100</w:t>
        </w:r>
        <w:r>
          <w:rPr>
            <w:noProof/>
            <w:webHidden/>
          </w:rPr>
          <w:fldChar w:fldCharType="end"/>
        </w:r>
      </w:hyperlink>
    </w:p>
    <w:p w14:paraId="5FBA8A33" w14:textId="54D30B37" w:rsidR="008732C4" w:rsidRDefault="008732C4">
      <w:pPr>
        <w:pStyle w:val="TOC1"/>
        <w:tabs>
          <w:tab w:val="left" w:pos="720"/>
        </w:tabs>
        <w:rPr>
          <w:rFonts w:asciiTheme="minorHAnsi" w:eastAsiaTheme="minorEastAsia" w:hAnsiTheme="minorHAnsi" w:cstheme="minorBidi"/>
          <w:noProof/>
          <w:kern w:val="2"/>
          <w:lang w:eastAsia="en-IE"/>
          <w14:ligatures w14:val="standardContextual"/>
        </w:rPr>
      </w:pPr>
      <w:hyperlink w:anchor="_Toc171346799" w:history="1">
        <w:r w:rsidRPr="00C629E1">
          <w:rPr>
            <w:rStyle w:val="Hyperlink"/>
            <w:noProof/>
            <w:lang w:bidi="x-none"/>
          </w:rPr>
          <w:t>21.0</w:t>
        </w:r>
        <w:r>
          <w:rPr>
            <w:rFonts w:asciiTheme="minorHAnsi" w:eastAsiaTheme="minorEastAsia" w:hAnsiTheme="minorHAnsi" w:cstheme="minorBidi"/>
            <w:noProof/>
            <w:kern w:val="2"/>
            <w:lang w:eastAsia="en-IE"/>
            <w14:ligatures w14:val="standardContextual"/>
          </w:rPr>
          <w:tab/>
        </w:r>
        <w:r w:rsidRPr="00C629E1">
          <w:rPr>
            <w:rStyle w:val="Hyperlink"/>
            <w:noProof/>
          </w:rPr>
          <w:t>Interactions</w:t>
        </w:r>
        <w:r>
          <w:rPr>
            <w:noProof/>
            <w:webHidden/>
          </w:rPr>
          <w:tab/>
        </w:r>
        <w:r>
          <w:rPr>
            <w:noProof/>
            <w:webHidden/>
          </w:rPr>
          <w:fldChar w:fldCharType="begin"/>
        </w:r>
        <w:r>
          <w:rPr>
            <w:noProof/>
            <w:webHidden/>
          </w:rPr>
          <w:instrText xml:space="preserve"> PAGEREF _Toc171346799 \h </w:instrText>
        </w:r>
        <w:r>
          <w:rPr>
            <w:noProof/>
            <w:webHidden/>
          </w:rPr>
        </w:r>
        <w:r>
          <w:rPr>
            <w:noProof/>
            <w:webHidden/>
          </w:rPr>
          <w:fldChar w:fldCharType="separate"/>
        </w:r>
        <w:r>
          <w:rPr>
            <w:noProof/>
            <w:webHidden/>
          </w:rPr>
          <w:t>105</w:t>
        </w:r>
        <w:r>
          <w:rPr>
            <w:noProof/>
            <w:webHidden/>
          </w:rPr>
          <w:fldChar w:fldCharType="end"/>
        </w:r>
      </w:hyperlink>
    </w:p>
    <w:p w14:paraId="12549F52" w14:textId="68781210" w:rsidR="008732C4" w:rsidRDefault="008732C4">
      <w:pPr>
        <w:pStyle w:val="TOC1"/>
        <w:tabs>
          <w:tab w:val="left" w:pos="720"/>
        </w:tabs>
        <w:rPr>
          <w:rFonts w:asciiTheme="minorHAnsi" w:eastAsiaTheme="minorEastAsia" w:hAnsiTheme="minorHAnsi" w:cstheme="minorBidi"/>
          <w:noProof/>
          <w:kern w:val="2"/>
          <w:lang w:eastAsia="en-IE"/>
          <w14:ligatures w14:val="standardContextual"/>
        </w:rPr>
      </w:pPr>
      <w:hyperlink w:anchor="_Toc171346800" w:history="1">
        <w:r w:rsidRPr="00C629E1">
          <w:rPr>
            <w:rStyle w:val="Hyperlink"/>
            <w:noProof/>
            <w:lang w:bidi="x-none"/>
          </w:rPr>
          <w:t>22.0</w:t>
        </w:r>
        <w:r>
          <w:rPr>
            <w:rFonts w:asciiTheme="minorHAnsi" w:eastAsiaTheme="minorEastAsia" w:hAnsiTheme="minorHAnsi" w:cstheme="minorBidi"/>
            <w:noProof/>
            <w:kern w:val="2"/>
            <w:lang w:eastAsia="en-IE"/>
            <w14:ligatures w14:val="standardContextual"/>
          </w:rPr>
          <w:tab/>
        </w:r>
        <w:r w:rsidRPr="00C629E1">
          <w:rPr>
            <w:rStyle w:val="Hyperlink"/>
            <w:noProof/>
          </w:rPr>
          <w:t>Reasoned Conclusion</w:t>
        </w:r>
        <w:r>
          <w:rPr>
            <w:noProof/>
            <w:webHidden/>
          </w:rPr>
          <w:tab/>
        </w:r>
        <w:r>
          <w:rPr>
            <w:noProof/>
            <w:webHidden/>
          </w:rPr>
          <w:fldChar w:fldCharType="begin"/>
        </w:r>
        <w:r>
          <w:rPr>
            <w:noProof/>
            <w:webHidden/>
          </w:rPr>
          <w:instrText xml:space="preserve"> PAGEREF _Toc171346800 \h </w:instrText>
        </w:r>
        <w:r>
          <w:rPr>
            <w:noProof/>
            <w:webHidden/>
          </w:rPr>
        </w:r>
        <w:r>
          <w:rPr>
            <w:noProof/>
            <w:webHidden/>
          </w:rPr>
          <w:fldChar w:fldCharType="separate"/>
        </w:r>
        <w:r>
          <w:rPr>
            <w:noProof/>
            <w:webHidden/>
          </w:rPr>
          <w:t>106</w:t>
        </w:r>
        <w:r>
          <w:rPr>
            <w:noProof/>
            <w:webHidden/>
          </w:rPr>
          <w:fldChar w:fldCharType="end"/>
        </w:r>
      </w:hyperlink>
    </w:p>
    <w:p w14:paraId="5370C9A1" w14:textId="6A4D7087" w:rsidR="008732C4" w:rsidRDefault="008732C4">
      <w:pPr>
        <w:pStyle w:val="TOC1"/>
        <w:tabs>
          <w:tab w:val="left" w:pos="720"/>
        </w:tabs>
        <w:rPr>
          <w:rFonts w:asciiTheme="minorHAnsi" w:eastAsiaTheme="minorEastAsia" w:hAnsiTheme="minorHAnsi" w:cstheme="minorBidi"/>
          <w:noProof/>
          <w:kern w:val="2"/>
          <w:lang w:eastAsia="en-IE"/>
          <w14:ligatures w14:val="standardContextual"/>
        </w:rPr>
      </w:pPr>
      <w:hyperlink w:anchor="_Toc171346801" w:history="1">
        <w:r w:rsidRPr="00C629E1">
          <w:rPr>
            <w:rStyle w:val="Hyperlink"/>
            <w:noProof/>
            <w:lang w:bidi="x-none"/>
          </w:rPr>
          <w:t>23.0</w:t>
        </w:r>
        <w:r>
          <w:rPr>
            <w:rFonts w:asciiTheme="minorHAnsi" w:eastAsiaTheme="minorEastAsia" w:hAnsiTheme="minorHAnsi" w:cstheme="minorBidi"/>
            <w:noProof/>
            <w:kern w:val="2"/>
            <w:lang w:eastAsia="en-IE"/>
            <w14:ligatures w14:val="standardContextual"/>
          </w:rPr>
          <w:tab/>
        </w:r>
        <w:r w:rsidRPr="00C629E1">
          <w:rPr>
            <w:rStyle w:val="Hyperlink"/>
            <w:noProof/>
          </w:rPr>
          <w:t>The Likely Significant Effects on a European Site</w:t>
        </w:r>
        <w:r>
          <w:rPr>
            <w:noProof/>
            <w:webHidden/>
          </w:rPr>
          <w:tab/>
        </w:r>
        <w:r>
          <w:rPr>
            <w:noProof/>
            <w:webHidden/>
          </w:rPr>
          <w:fldChar w:fldCharType="begin"/>
        </w:r>
        <w:r>
          <w:rPr>
            <w:noProof/>
            <w:webHidden/>
          </w:rPr>
          <w:instrText xml:space="preserve"> PAGEREF _Toc171346801 \h </w:instrText>
        </w:r>
        <w:r>
          <w:rPr>
            <w:noProof/>
            <w:webHidden/>
          </w:rPr>
        </w:r>
        <w:r>
          <w:rPr>
            <w:noProof/>
            <w:webHidden/>
          </w:rPr>
          <w:fldChar w:fldCharType="separate"/>
        </w:r>
        <w:r>
          <w:rPr>
            <w:noProof/>
            <w:webHidden/>
          </w:rPr>
          <w:t>107</w:t>
        </w:r>
        <w:r>
          <w:rPr>
            <w:noProof/>
            <w:webHidden/>
          </w:rPr>
          <w:fldChar w:fldCharType="end"/>
        </w:r>
      </w:hyperlink>
    </w:p>
    <w:p w14:paraId="28F41236" w14:textId="2F6A15DC" w:rsidR="008732C4" w:rsidRDefault="008732C4">
      <w:pPr>
        <w:pStyle w:val="TOC1"/>
        <w:tabs>
          <w:tab w:val="left" w:pos="720"/>
        </w:tabs>
        <w:rPr>
          <w:rFonts w:asciiTheme="minorHAnsi" w:eastAsiaTheme="minorEastAsia" w:hAnsiTheme="minorHAnsi" w:cstheme="minorBidi"/>
          <w:noProof/>
          <w:kern w:val="2"/>
          <w:lang w:eastAsia="en-IE"/>
          <w14:ligatures w14:val="standardContextual"/>
        </w:rPr>
      </w:pPr>
      <w:hyperlink w:anchor="_Toc171346802" w:history="1">
        <w:r w:rsidRPr="00C629E1">
          <w:rPr>
            <w:rStyle w:val="Hyperlink"/>
            <w:noProof/>
            <w:lang w:bidi="x-none"/>
          </w:rPr>
          <w:t>24.0</w:t>
        </w:r>
        <w:r>
          <w:rPr>
            <w:rFonts w:asciiTheme="minorHAnsi" w:eastAsiaTheme="minorEastAsia" w:hAnsiTheme="minorHAnsi" w:cstheme="minorBidi"/>
            <w:noProof/>
            <w:kern w:val="2"/>
            <w:lang w:eastAsia="en-IE"/>
            <w14:ligatures w14:val="standardContextual"/>
          </w:rPr>
          <w:tab/>
        </w:r>
        <w:r w:rsidRPr="00C629E1">
          <w:rPr>
            <w:rStyle w:val="Hyperlink"/>
            <w:noProof/>
          </w:rPr>
          <w:t>Recommendation</w:t>
        </w:r>
        <w:r>
          <w:rPr>
            <w:noProof/>
            <w:webHidden/>
          </w:rPr>
          <w:tab/>
        </w:r>
        <w:r>
          <w:rPr>
            <w:noProof/>
            <w:webHidden/>
          </w:rPr>
          <w:fldChar w:fldCharType="begin"/>
        </w:r>
        <w:r>
          <w:rPr>
            <w:noProof/>
            <w:webHidden/>
          </w:rPr>
          <w:instrText xml:space="preserve"> PAGEREF _Toc171346802 \h </w:instrText>
        </w:r>
        <w:r>
          <w:rPr>
            <w:noProof/>
            <w:webHidden/>
          </w:rPr>
        </w:r>
        <w:r>
          <w:rPr>
            <w:noProof/>
            <w:webHidden/>
          </w:rPr>
          <w:fldChar w:fldCharType="separate"/>
        </w:r>
        <w:r>
          <w:rPr>
            <w:noProof/>
            <w:webHidden/>
          </w:rPr>
          <w:t>119</w:t>
        </w:r>
        <w:r>
          <w:rPr>
            <w:noProof/>
            <w:webHidden/>
          </w:rPr>
          <w:fldChar w:fldCharType="end"/>
        </w:r>
      </w:hyperlink>
    </w:p>
    <w:p w14:paraId="366B6A99" w14:textId="47297197" w:rsidR="008732C4" w:rsidRDefault="008732C4">
      <w:pPr>
        <w:pStyle w:val="TOC1"/>
        <w:tabs>
          <w:tab w:val="left" w:pos="720"/>
        </w:tabs>
        <w:rPr>
          <w:rFonts w:asciiTheme="minorHAnsi" w:eastAsiaTheme="minorEastAsia" w:hAnsiTheme="minorHAnsi" w:cstheme="minorBidi"/>
          <w:noProof/>
          <w:kern w:val="2"/>
          <w:lang w:eastAsia="en-IE"/>
          <w14:ligatures w14:val="standardContextual"/>
        </w:rPr>
      </w:pPr>
      <w:hyperlink w:anchor="_Toc171346803" w:history="1">
        <w:r w:rsidRPr="00C629E1">
          <w:rPr>
            <w:rStyle w:val="Hyperlink"/>
            <w:noProof/>
            <w:lang w:bidi="x-none"/>
          </w:rPr>
          <w:t>25.0</w:t>
        </w:r>
        <w:r>
          <w:rPr>
            <w:rFonts w:asciiTheme="minorHAnsi" w:eastAsiaTheme="minorEastAsia" w:hAnsiTheme="minorHAnsi" w:cstheme="minorBidi"/>
            <w:noProof/>
            <w:kern w:val="2"/>
            <w:lang w:eastAsia="en-IE"/>
            <w14:ligatures w14:val="standardContextual"/>
          </w:rPr>
          <w:tab/>
        </w:r>
        <w:r w:rsidRPr="00C629E1">
          <w:rPr>
            <w:rStyle w:val="Hyperlink"/>
            <w:noProof/>
          </w:rPr>
          <w:t>Reasons and Considerations</w:t>
        </w:r>
        <w:r>
          <w:rPr>
            <w:noProof/>
            <w:webHidden/>
          </w:rPr>
          <w:tab/>
        </w:r>
        <w:r>
          <w:rPr>
            <w:noProof/>
            <w:webHidden/>
          </w:rPr>
          <w:fldChar w:fldCharType="begin"/>
        </w:r>
        <w:r>
          <w:rPr>
            <w:noProof/>
            <w:webHidden/>
          </w:rPr>
          <w:instrText xml:space="preserve"> PAGEREF _Toc171346803 \h </w:instrText>
        </w:r>
        <w:r>
          <w:rPr>
            <w:noProof/>
            <w:webHidden/>
          </w:rPr>
        </w:r>
        <w:r>
          <w:rPr>
            <w:noProof/>
            <w:webHidden/>
          </w:rPr>
          <w:fldChar w:fldCharType="separate"/>
        </w:r>
        <w:r>
          <w:rPr>
            <w:noProof/>
            <w:webHidden/>
          </w:rPr>
          <w:t>119</w:t>
        </w:r>
        <w:r>
          <w:rPr>
            <w:noProof/>
            <w:webHidden/>
          </w:rPr>
          <w:fldChar w:fldCharType="end"/>
        </w:r>
      </w:hyperlink>
    </w:p>
    <w:p w14:paraId="51E54646" w14:textId="422A81A2" w:rsidR="008732C4" w:rsidRDefault="008732C4">
      <w:pPr>
        <w:pStyle w:val="TOC1"/>
        <w:tabs>
          <w:tab w:val="left" w:pos="720"/>
        </w:tabs>
        <w:rPr>
          <w:rFonts w:asciiTheme="minorHAnsi" w:eastAsiaTheme="minorEastAsia" w:hAnsiTheme="minorHAnsi" w:cstheme="minorBidi"/>
          <w:noProof/>
          <w:kern w:val="2"/>
          <w:lang w:eastAsia="en-IE"/>
          <w14:ligatures w14:val="standardContextual"/>
        </w:rPr>
      </w:pPr>
      <w:hyperlink w:anchor="_Toc171346804" w:history="1">
        <w:r w:rsidRPr="00C629E1">
          <w:rPr>
            <w:rStyle w:val="Hyperlink"/>
            <w:noProof/>
            <w:lang w:bidi="x-none"/>
          </w:rPr>
          <w:t>26.0</w:t>
        </w:r>
        <w:r>
          <w:rPr>
            <w:rFonts w:asciiTheme="minorHAnsi" w:eastAsiaTheme="minorEastAsia" w:hAnsiTheme="minorHAnsi" w:cstheme="minorBidi"/>
            <w:noProof/>
            <w:kern w:val="2"/>
            <w:lang w:eastAsia="en-IE"/>
            <w14:ligatures w14:val="standardContextual"/>
          </w:rPr>
          <w:tab/>
        </w:r>
        <w:r w:rsidRPr="00C629E1">
          <w:rPr>
            <w:rStyle w:val="Hyperlink"/>
            <w:noProof/>
          </w:rPr>
          <w:t>Conditions</w:t>
        </w:r>
        <w:r>
          <w:rPr>
            <w:noProof/>
            <w:webHidden/>
          </w:rPr>
          <w:tab/>
        </w:r>
        <w:r>
          <w:rPr>
            <w:noProof/>
            <w:webHidden/>
          </w:rPr>
          <w:fldChar w:fldCharType="begin"/>
        </w:r>
        <w:r>
          <w:rPr>
            <w:noProof/>
            <w:webHidden/>
          </w:rPr>
          <w:instrText xml:space="preserve"> PAGEREF _Toc171346804 \h </w:instrText>
        </w:r>
        <w:r>
          <w:rPr>
            <w:noProof/>
            <w:webHidden/>
          </w:rPr>
        </w:r>
        <w:r>
          <w:rPr>
            <w:noProof/>
            <w:webHidden/>
          </w:rPr>
          <w:fldChar w:fldCharType="separate"/>
        </w:r>
        <w:r>
          <w:rPr>
            <w:noProof/>
            <w:webHidden/>
          </w:rPr>
          <w:t>124</w:t>
        </w:r>
        <w:r>
          <w:rPr>
            <w:noProof/>
            <w:webHidden/>
          </w:rPr>
          <w:fldChar w:fldCharType="end"/>
        </w:r>
      </w:hyperlink>
    </w:p>
    <w:p w14:paraId="63C5CB56" w14:textId="7999C53D" w:rsidR="008732C4" w:rsidRDefault="008732C4">
      <w:pPr>
        <w:pStyle w:val="TOC1"/>
        <w:rPr>
          <w:rFonts w:asciiTheme="minorHAnsi" w:eastAsiaTheme="minorEastAsia" w:hAnsiTheme="minorHAnsi" w:cstheme="minorBidi"/>
          <w:noProof/>
          <w:kern w:val="2"/>
          <w:lang w:eastAsia="en-IE"/>
          <w14:ligatures w14:val="standardContextual"/>
        </w:rPr>
      </w:pPr>
      <w:hyperlink w:anchor="_Toc171346805" w:history="1">
        <w:r w:rsidRPr="00C629E1">
          <w:rPr>
            <w:rStyle w:val="Hyperlink"/>
            <w:noProof/>
          </w:rPr>
          <w:t>Appendix 1 - Form 1 – EIA Pre-Screening</w:t>
        </w:r>
        <w:r>
          <w:rPr>
            <w:noProof/>
            <w:webHidden/>
          </w:rPr>
          <w:tab/>
        </w:r>
        <w:r>
          <w:rPr>
            <w:noProof/>
            <w:webHidden/>
          </w:rPr>
          <w:fldChar w:fldCharType="begin"/>
        </w:r>
        <w:r>
          <w:rPr>
            <w:noProof/>
            <w:webHidden/>
          </w:rPr>
          <w:instrText xml:space="preserve"> PAGEREF _Toc171346805 \h </w:instrText>
        </w:r>
        <w:r>
          <w:rPr>
            <w:noProof/>
            <w:webHidden/>
          </w:rPr>
        </w:r>
        <w:r>
          <w:rPr>
            <w:noProof/>
            <w:webHidden/>
          </w:rPr>
          <w:fldChar w:fldCharType="separate"/>
        </w:r>
        <w:r>
          <w:rPr>
            <w:noProof/>
            <w:webHidden/>
          </w:rPr>
          <w:t>129</w:t>
        </w:r>
        <w:r>
          <w:rPr>
            <w:noProof/>
            <w:webHidden/>
          </w:rPr>
          <w:fldChar w:fldCharType="end"/>
        </w:r>
      </w:hyperlink>
    </w:p>
    <w:p w14:paraId="36168F44" w14:textId="1397F1CD" w:rsidR="008732C4" w:rsidRDefault="008732C4">
      <w:pPr>
        <w:pStyle w:val="TOC1"/>
        <w:rPr>
          <w:rFonts w:asciiTheme="minorHAnsi" w:eastAsiaTheme="minorEastAsia" w:hAnsiTheme="minorHAnsi" w:cstheme="minorBidi"/>
          <w:noProof/>
          <w:kern w:val="2"/>
          <w:lang w:eastAsia="en-IE"/>
          <w14:ligatures w14:val="standardContextual"/>
        </w:rPr>
      </w:pPr>
      <w:hyperlink w:anchor="_Toc171346806" w:history="1">
        <w:r w:rsidRPr="00C629E1">
          <w:rPr>
            <w:rStyle w:val="Hyperlink"/>
            <w:noProof/>
          </w:rPr>
          <w:t>Appendix 2 – AA Screening Determination</w:t>
        </w:r>
        <w:r>
          <w:rPr>
            <w:noProof/>
            <w:webHidden/>
          </w:rPr>
          <w:tab/>
        </w:r>
        <w:r>
          <w:rPr>
            <w:noProof/>
            <w:webHidden/>
          </w:rPr>
          <w:fldChar w:fldCharType="begin"/>
        </w:r>
        <w:r>
          <w:rPr>
            <w:noProof/>
            <w:webHidden/>
          </w:rPr>
          <w:instrText xml:space="preserve"> PAGEREF _Toc171346806 \h </w:instrText>
        </w:r>
        <w:r>
          <w:rPr>
            <w:noProof/>
            <w:webHidden/>
          </w:rPr>
        </w:r>
        <w:r>
          <w:rPr>
            <w:noProof/>
            <w:webHidden/>
          </w:rPr>
          <w:fldChar w:fldCharType="separate"/>
        </w:r>
        <w:r>
          <w:rPr>
            <w:noProof/>
            <w:webHidden/>
          </w:rPr>
          <w:t>131</w:t>
        </w:r>
        <w:r>
          <w:rPr>
            <w:noProof/>
            <w:webHidden/>
          </w:rPr>
          <w:fldChar w:fldCharType="end"/>
        </w:r>
      </w:hyperlink>
    </w:p>
    <w:p w14:paraId="7EF94457" w14:textId="1A82E232" w:rsidR="002247C5" w:rsidRDefault="005F13EC" w:rsidP="00D463EB">
      <w:pPr>
        <w:rPr>
          <w:rFonts w:ascii="Arial" w:eastAsia="Calibri" w:hAnsi="Arial" w:cs="Arial"/>
          <w:sz w:val="24"/>
          <w:szCs w:val="24"/>
        </w:rPr>
      </w:pPr>
      <w:r>
        <w:rPr>
          <w:rFonts w:ascii="Arial" w:eastAsia="Calibri" w:hAnsi="Arial" w:cs="Arial"/>
          <w:sz w:val="24"/>
          <w:szCs w:val="24"/>
        </w:rPr>
        <w:fldChar w:fldCharType="end"/>
      </w:r>
    </w:p>
    <w:p w14:paraId="46239391" w14:textId="77777777" w:rsidR="009F4DB7" w:rsidRDefault="009F4DB7" w:rsidP="00D463EB">
      <w:pPr>
        <w:rPr>
          <w:rFonts w:ascii="Arial" w:eastAsia="Calibri" w:hAnsi="Arial" w:cs="Arial"/>
          <w:sz w:val="24"/>
          <w:szCs w:val="24"/>
        </w:rPr>
      </w:pPr>
    </w:p>
    <w:p w14:paraId="17EA8863" w14:textId="77777777" w:rsidR="009F4DB7" w:rsidRDefault="009F4DB7" w:rsidP="00D463EB">
      <w:pPr>
        <w:rPr>
          <w:rFonts w:ascii="Arial" w:eastAsia="Calibri" w:hAnsi="Arial" w:cs="Arial"/>
          <w:sz w:val="24"/>
          <w:szCs w:val="24"/>
        </w:rPr>
      </w:pPr>
    </w:p>
    <w:p w14:paraId="12EC40B6" w14:textId="77777777" w:rsidR="009F4DB7" w:rsidRDefault="009F4DB7" w:rsidP="00D463EB">
      <w:pPr>
        <w:rPr>
          <w:rFonts w:ascii="Arial" w:eastAsia="Calibri" w:hAnsi="Arial" w:cs="Arial"/>
          <w:sz w:val="24"/>
          <w:szCs w:val="24"/>
        </w:rPr>
      </w:pPr>
    </w:p>
    <w:p w14:paraId="712984A4" w14:textId="77777777" w:rsidR="009F4DB7" w:rsidRDefault="009F4DB7" w:rsidP="00D463EB">
      <w:pPr>
        <w:rPr>
          <w:rFonts w:ascii="Arial" w:eastAsia="Calibri" w:hAnsi="Arial" w:cs="Arial"/>
          <w:sz w:val="24"/>
          <w:szCs w:val="24"/>
        </w:rPr>
      </w:pPr>
    </w:p>
    <w:p w14:paraId="70FD86AD" w14:textId="77777777" w:rsidR="009F4DB7" w:rsidRDefault="009F4DB7" w:rsidP="00D463EB">
      <w:pPr>
        <w:rPr>
          <w:rFonts w:ascii="Arial" w:eastAsia="Calibri" w:hAnsi="Arial" w:cs="Arial"/>
          <w:sz w:val="24"/>
          <w:szCs w:val="24"/>
        </w:rPr>
      </w:pPr>
    </w:p>
    <w:p w14:paraId="11606B48" w14:textId="77777777" w:rsidR="009F4DB7" w:rsidRDefault="009F4DB7" w:rsidP="00D463EB">
      <w:pPr>
        <w:rPr>
          <w:rFonts w:ascii="Arial" w:eastAsia="Calibri" w:hAnsi="Arial" w:cs="Arial"/>
          <w:sz w:val="24"/>
          <w:szCs w:val="24"/>
        </w:rPr>
      </w:pPr>
    </w:p>
    <w:p w14:paraId="67F282E7" w14:textId="77777777" w:rsidR="009F4DB7" w:rsidRDefault="009F4DB7" w:rsidP="00D463EB">
      <w:pPr>
        <w:rPr>
          <w:rFonts w:ascii="Arial" w:eastAsia="Calibri" w:hAnsi="Arial" w:cs="Arial"/>
          <w:sz w:val="24"/>
          <w:szCs w:val="24"/>
        </w:rPr>
      </w:pPr>
    </w:p>
    <w:p w14:paraId="1DBF3B84" w14:textId="77777777" w:rsidR="009F4DB7" w:rsidRDefault="009F4DB7" w:rsidP="00D463EB">
      <w:pPr>
        <w:rPr>
          <w:rFonts w:ascii="Arial" w:eastAsia="Calibri" w:hAnsi="Arial" w:cs="Arial"/>
          <w:sz w:val="24"/>
          <w:szCs w:val="24"/>
        </w:rPr>
      </w:pPr>
    </w:p>
    <w:p w14:paraId="7918D9CF" w14:textId="77777777" w:rsidR="009F4DB7" w:rsidRDefault="009F4DB7" w:rsidP="00D463EB">
      <w:pPr>
        <w:rPr>
          <w:rFonts w:ascii="Arial" w:eastAsia="Calibri" w:hAnsi="Arial" w:cs="Arial"/>
          <w:sz w:val="24"/>
          <w:szCs w:val="24"/>
        </w:rPr>
      </w:pPr>
    </w:p>
    <w:p w14:paraId="117C309A" w14:textId="77777777" w:rsidR="009F4DB7" w:rsidRDefault="009F4DB7" w:rsidP="00D463EB">
      <w:pPr>
        <w:rPr>
          <w:rFonts w:ascii="Arial" w:eastAsia="Calibri" w:hAnsi="Arial" w:cs="Arial"/>
          <w:sz w:val="24"/>
          <w:szCs w:val="24"/>
        </w:rPr>
      </w:pPr>
    </w:p>
    <w:p w14:paraId="0992D509" w14:textId="77777777" w:rsidR="009F4DB7" w:rsidRDefault="009F4DB7" w:rsidP="00D463EB">
      <w:pPr>
        <w:rPr>
          <w:rFonts w:ascii="Arial" w:eastAsia="Calibri" w:hAnsi="Arial" w:cs="Arial"/>
          <w:sz w:val="24"/>
          <w:szCs w:val="24"/>
        </w:rPr>
      </w:pPr>
    </w:p>
    <w:p w14:paraId="66E1D5CF" w14:textId="77777777" w:rsidR="009F4DB7" w:rsidRDefault="009F4DB7" w:rsidP="00D463EB">
      <w:pPr>
        <w:rPr>
          <w:rFonts w:ascii="Arial" w:eastAsia="Calibri" w:hAnsi="Arial" w:cs="Arial"/>
          <w:sz w:val="24"/>
          <w:szCs w:val="24"/>
        </w:rPr>
      </w:pPr>
    </w:p>
    <w:p w14:paraId="7607B79C" w14:textId="77777777" w:rsidR="009F4DB7" w:rsidRDefault="009F4DB7" w:rsidP="00D463EB">
      <w:pPr>
        <w:rPr>
          <w:rFonts w:ascii="Arial" w:eastAsia="Calibri" w:hAnsi="Arial" w:cs="Arial"/>
          <w:sz w:val="24"/>
          <w:szCs w:val="24"/>
        </w:rPr>
      </w:pPr>
    </w:p>
    <w:p w14:paraId="35208913" w14:textId="77777777" w:rsidR="009F4DB7" w:rsidRDefault="009F4DB7" w:rsidP="00D463EB">
      <w:pPr>
        <w:rPr>
          <w:rFonts w:ascii="Arial" w:eastAsia="Calibri" w:hAnsi="Arial" w:cs="Arial"/>
          <w:sz w:val="24"/>
          <w:szCs w:val="24"/>
        </w:rPr>
      </w:pPr>
    </w:p>
    <w:p w14:paraId="74CE1028" w14:textId="77777777" w:rsidR="009F4DB7" w:rsidRDefault="009F4DB7" w:rsidP="00D463EB">
      <w:pPr>
        <w:rPr>
          <w:rFonts w:ascii="Arial" w:eastAsia="Calibri" w:hAnsi="Arial" w:cs="Arial"/>
          <w:sz w:val="24"/>
          <w:szCs w:val="24"/>
        </w:rPr>
      </w:pPr>
    </w:p>
    <w:p w14:paraId="3DFC0A76" w14:textId="77777777" w:rsidR="009F4DB7" w:rsidRDefault="009F4DB7" w:rsidP="00D463EB">
      <w:pPr>
        <w:rPr>
          <w:rFonts w:ascii="Arial" w:eastAsia="Calibri" w:hAnsi="Arial" w:cs="Arial"/>
          <w:sz w:val="24"/>
          <w:szCs w:val="24"/>
        </w:rPr>
      </w:pPr>
    </w:p>
    <w:p w14:paraId="239CA5FC" w14:textId="77777777" w:rsidR="009F4DB7" w:rsidRDefault="009F4DB7" w:rsidP="00D463EB">
      <w:pPr>
        <w:rPr>
          <w:rFonts w:ascii="Arial" w:eastAsia="Calibri" w:hAnsi="Arial" w:cs="Arial"/>
          <w:sz w:val="24"/>
          <w:szCs w:val="24"/>
        </w:rPr>
      </w:pPr>
    </w:p>
    <w:p w14:paraId="30D0005F" w14:textId="77777777" w:rsidR="009F4DB7" w:rsidRDefault="009F4DB7" w:rsidP="00D463EB">
      <w:pPr>
        <w:rPr>
          <w:rFonts w:ascii="Arial" w:eastAsia="Calibri" w:hAnsi="Arial" w:cs="Arial"/>
          <w:sz w:val="24"/>
          <w:szCs w:val="24"/>
        </w:rPr>
      </w:pPr>
    </w:p>
    <w:p w14:paraId="592CB2E8" w14:textId="77777777" w:rsidR="009F4DB7" w:rsidRDefault="009F4DB7" w:rsidP="00D463EB">
      <w:pPr>
        <w:rPr>
          <w:rFonts w:ascii="Arial" w:eastAsia="Calibri" w:hAnsi="Arial" w:cs="Arial"/>
          <w:sz w:val="24"/>
          <w:szCs w:val="24"/>
        </w:rPr>
      </w:pPr>
    </w:p>
    <w:p w14:paraId="5E539EEF" w14:textId="77777777" w:rsidR="009F4DB7" w:rsidRDefault="009F4DB7" w:rsidP="00D463EB">
      <w:pPr>
        <w:rPr>
          <w:rFonts w:ascii="Arial" w:eastAsia="Calibri" w:hAnsi="Arial" w:cs="Arial"/>
          <w:sz w:val="24"/>
          <w:szCs w:val="24"/>
        </w:rPr>
      </w:pPr>
    </w:p>
    <w:p w14:paraId="624BDC34" w14:textId="77777777" w:rsidR="009F4DB7" w:rsidRDefault="009F4DB7" w:rsidP="00D463EB">
      <w:pPr>
        <w:rPr>
          <w:rFonts w:ascii="Arial" w:eastAsia="Calibri" w:hAnsi="Arial" w:cs="Arial"/>
          <w:sz w:val="24"/>
          <w:szCs w:val="24"/>
        </w:rPr>
      </w:pPr>
    </w:p>
    <w:p w14:paraId="589F7DB4" w14:textId="77777777" w:rsidR="009F4DB7" w:rsidRDefault="009F4DB7" w:rsidP="00D463EB">
      <w:pPr>
        <w:rPr>
          <w:rFonts w:ascii="Arial" w:eastAsia="Calibri" w:hAnsi="Arial" w:cs="Arial"/>
          <w:sz w:val="24"/>
          <w:szCs w:val="24"/>
        </w:rPr>
      </w:pPr>
    </w:p>
    <w:p w14:paraId="6C3C525C" w14:textId="77777777" w:rsidR="009F4DB7" w:rsidRPr="00946993" w:rsidRDefault="009F4DB7" w:rsidP="00D463EB">
      <w:pPr>
        <w:rPr>
          <w:rFonts w:ascii="Arial" w:eastAsia="Calibri" w:hAnsi="Arial" w:cs="Arial"/>
          <w:sz w:val="24"/>
          <w:szCs w:val="24"/>
        </w:rPr>
      </w:pPr>
    </w:p>
    <w:p w14:paraId="2107F1B2" w14:textId="1CC2F7C3" w:rsidR="00E40DCA" w:rsidRPr="004B5C94" w:rsidRDefault="00BF395A" w:rsidP="00E40DCA">
      <w:pPr>
        <w:pStyle w:val="EHead1"/>
      </w:pPr>
      <w:bookmarkStart w:id="1" w:name="_Toc171346779"/>
      <w:r>
        <w:lastRenderedPageBreak/>
        <w:t>Introduction</w:t>
      </w:r>
      <w:bookmarkEnd w:id="1"/>
    </w:p>
    <w:p w14:paraId="148D2053" w14:textId="77777777" w:rsidR="00B608D7" w:rsidRDefault="00B608D7" w:rsidP="00632DEC">
      <w:pPr>
        <w:pStyle w:val="Heading2"/>
      </w:pPr>
      <w:r>
        <w:t>Context</w:t>
      </w:r>
    </w:p>
    <w:p w14:paraId="1983C408" w14:textId="48781556" w:rsidR="00B608D7" w:rsidRDefault="008F1050" w:rsidP="0000559C">
      <w:pPr>
        <w:pStyle w:val="CBody2"/>
        <w:numPr>
          <w:ilvl w:val="0"/>
          <w:numId w:val="0"/>
        </w:numPr>
        <w:jc w:val="both"/>
      </w:pPr>
      <w:r>
        <w:t>This is a direct application to the Board under Section 37E of the Planning and Development Act, 2000</w:t>
      </w:r>
      <w:r w:rsidR="00C82698">
        <w:t>.</w:t>
      </w:r>
      <w:r>
        <w:t xml:space="preserve"> The application is being made by </w:t>
      </w:r>
      <w:r w:rsidR="00F36E4D">
        <w:t>SSE</w:t>
      </w:r>
      <w:r w:rsidR="00D83E86">
        <w:t xml:space="preserve"> Generation Ireland</w:t>
      </w:r>
      <w:r>
        <w:t xml:space="preserve"> Limited for a Proposed Open Cycle Gas Turbine (OCGT) power plant (350MW) </w:t>
      </w:r>
      <w:r w:rsidR="008414F0">
        <w:t xml:space="preserve">fuelled by Hydrotreated Vegetable Oil (HVO) along with associated </w:t>
      </w:r>
      <w:r w:rsidR="00C46EF0">
        <w:t xml:space="preserve">buildings, plant, site works, </w:t>
      </w:r>
      <w:proofErr w:type="gramStart"/>
      <w:r w:rsidR="00C46EF0">
        <w:t>services</w:t>
      </w:r>
      <w:proofErr w:type="gramEnd"/>
      <w:r w:rsidR="00C46EF0">
        <w:t xml:space="preserve"> and ancillary development</w:t>
      </w:r>
      <w:r>
        <w:t xml:space="preserve"> on land </w:t>
      </w:r>
      <w:r w:rsidR="00C46EF0">
        <w:t>within the existing SSE Tarbert Power Sta</w:t>
      </w:r>
      <w:r w:rsidR="00E455E9">
        <w:t xml:space="preserve">tion site at Tarbert Island, </w:t>
      </w:r>
      <w:r w:rsidR="0075335B">
        <w:t xml:space="preserve">Tarbert, </w:t>
      </w:r>
      <w:r w:rsidR="00E455E9">
        <w:t>Co. Kerry.</w:t>
      </w:r>
    </w:p>
    <w:p w14:paraId="5B150FF3" w14:textId="51FE07F3" w:rsidR="00632DEC" w:rsidRDefault="00632DEC" w:rsidP="00632DEC">
      <w:pPr>
        <w:pStyle w:val="Heading2"/>
      </w:pPr>
      <w:r>
        <w:t>Pre-Application SID Consultations</w:t>
      </w:r>
    </w:p>
    <w:p w14:paraId="5211C6DA" w14:textId="11CAF36B" w:rsidR="00632DEC" w:rsidRDefault="00632DEC" w:rsidP="0000559C">
      <w:pPr>
        <w:pStyle w:val="CBody2"/>
        <w:numPr>
          <w:ilvl w:val="0"/>
          <w:numId w:val="0"/>
        </w:numPr>
        <w:jc w:val="both"/>
      </w:pPr>
      <w:r>
        <w:t xml:space="preserve">As provided for under Section 37B of the Planning and Development Act 2000, as amended, the applicant </w:t>
      </w:r>
      <w:proofErr w:type="gramStart"/>
      <w:r>
        <w:t>entered into</w:t>
      </w:r>
      <w:proofErr w:type="gramEnd"/>
      <w:r>
        <w:t xml:space="preserve"> discussions with the Board, which are detailed on File Reference ABP-31</w:t>
      </w:r>
      <w:r w:rsidR="004B630F">
        <w:t>6229</w:t>
      </w:r>
      <w:r>
        <w:t>-2</w:t>
      </w:r>
      <w:r w:rsidR="004B630F">
        <w:t>3</w:t>
      </w:r>
      <w:r>
        <w:t xml:space="preserve">.  The application meets the threshold of </w:t>
      </w:r>
      <w:r w:rsidRPr="006C493A">
        <w:rPr>
          <w:i/>
          <w:iCs/>
        </w:rPr>
        <w:t>‘a thermal power station or other combustion installation with a total energy output of 300 megawatts or more’</w:t>
      </w:r>
      <w:r>
        <w:t xml:space="preserve"> as set out in the 7</w:t>
      </w:r>
      <w:r w:rsidRPr="00115F8B">
        <w:rPr>
          <w:vertAlign w:val="superscript"/>
        </w:rPr>
        <w:t>th</w:t>
      </w:r>
      <w:r>
        <w:t xml:space="preserve"> Schedule of the Planning and Development Act 2000 (as amended). </w:t>
      </w:r>
    </w:p>
    <w:p w14:paraId="0F06706A" w14:textId="763C4341" w:rsidR="00632DEC" w:rsidRPr="00E64ED5" w:rsidRDefault="00632DEC" w:rsidP="0000559C">
      <w:pPr>
        <w:pStyle w:val="CBody2"/>
        <w:numPr>
          <w:ilvl w:val="0"/>
          <w:numId w:val="0"/>
        </w:numPr>
        <w:jc w:val="both"/>
      </w:pPr>
      <w:r>
        <w:t xml:space="preserve">On foot of an assessment and recommendation from the reporting inspector that the proposed development did constitute Strategic Infrastructure within the meaning of the Acts, the Board issued a direction on the </w:t>
      </w:r>
      <w:r w:rsidR="007E476F">
        <w:t>12</w:t>
      </w:r>
      <w:r>
        <w:t xml:space="preserve">th of </w:t>
      </w:r>
      <w:r w:rsidR="007E476F">
        <w:t>October</w:t>
      </w:r>
      <w:r>
        <w:t xml:space="preserve"> 2023 that the development as proposed constitutes Strategic Infrastructure.  The current application is made on foot of this decision. </w:t>
      </w:r>
    </w:p>
    <w:p w14:paraId="2107F1B3" w14:textId="60F2ADA3" w:rsidR="00E40DCA" w:rsidRPr="00BF395A" w:rsidRDefault="00BF395A" w:rsidP="00092198">
      <w:pPr>
        <w:pStyle w:val="Heading2"/>
      </w:pPr>
      <w:r w:rsidRPr="00BF395A">
        <w:t>Site Location and Description</w:t>
      </w:r>
    </w:p>
    <w:p w14:paraId="389BA58C" w14:textId="5D629B7C" w:rsidR="00307211" w:rsidRDefault="00A7612D" w:rsidP="0000559C">
      <w:pPr>
        <w:pStyle w:val="CBody2"/>
        <w:numPr>
          <w:ilvl w:val="0"/>
          <w:numId w:val="0"/>
        </w:numPr>
        <w:jc w:val="both"/>
      </w:pPr>
      <w:r>
        <w:t xml:space="preserve">The </w:t>
      </w:r>
      <w:r w:rsidR="00AD09FF">
        <w:t>Proposed Development Site (the Site)</w:t>
      </w:r>
      <w:r>
        <w:t xml:space="preserve"> is situated on the southern shore of Shannon Estuary within the administrative boundary of Kerry County </w:t>
      </w:r>
      <w:r w:rsidR="00A925F0">
        <w:t>C</w:t>
      </w:r>
      <w:r>
        <w:t xml:space="preserve">ouncil.  </w:t>
      </w:r>
      <w:r w:rsidR="00361E19">
        <w:t xml:space="preserve">The </w:t>
      </w:r>
      <w:r w:rsidR="00AD09FF">
        <w:t xml:space="preserve">Site </w:t>
      </w:r>
      <w:r w:rsidR="00A536BA">
        <w:t xml:space="preserve">measures c. 15.18ha and </w:t>
      </w:r>
      <w:r w:rsidR="00AD49DC">
        <w:t>is situated on the previously developed area of the Tarbert</w:t>
      </w:r>
      <w:r w:rsidR="00443E0A">
        <w:t xml:space="preserve"> </w:t>
      </w:r>
      <w:r w:rsidR="00CE2E79">
        <w:t>Heavy Fuel Oil (</w:t>
      </w:r>
      <w:r w:rsidR="00443E0A">
        <w:t>HFO</w:t>
      </w:r>
      <w:r w:rsidR="00CE2E79">
        <w:t>)</w:t>
      </w:r>
      <w:r w:rsidR="00443E0A">
        <w:t xml:space="preserve"> Power Station Site</w:t>
      </w:r>
      <w:r w:rsidR="004335F8">
        <w:t xml:space="preserve">, </w:t>
      </w:r>
      <w:r w:rsidR="00307211">
        <w:t>which is located on Tarbert Island, c. 1.8km north of the town of Tarbert</w:t>
      </w:r>
      <w:r w:rsidR="00C24B2E">
        <w:t>, adjacent to the operational pier of the Tarbe</w:t>
      </w:r>
      <w:r w:rsidR="00F92591">
        <w:t>rt-Killimer ferry</w:t>
      </w:r>
      <w:r w:rsidR="00307211">
        <w:t xml:space="preserve"> in Co. Kerry. </w:t>
      </w:r>
    </w:p>
    <w:p w14:paraId="0FB9C63C" w14:textId="0BDA985E" w:rsidR="00455E11" w:rsidRDefault="00455E11" w:rsidP="0000559C">
      <w:pPr>
        <w:pStyle w:val="CBody2"/>
        <w:numPr>
          <w:ilvl w:val="0"/>
          <w:numId w:val="0"/>
        </w:numPr>
        <w:jc w:val="both"/>
      </w:pPr>
      <w:r>
        <w:lastRenderedPageBreak/>
        <w:t xml:space="preserve">The </w:t>
      </w:r>
      <w:r w:rsidR="007769FD">
        <w:t>S</w:t>
      </w:r>
      <w:r>
        <w:t>ite is accessed via the N67</w:t>
      </w:r>
      <w:r w:rsidR="003C2233">
        <w:t>, a National Secondary Route which connects the Site to the N69 Tralee/Limerick Road</w:t>
      </w:r>
      <w:r w:rsidR="007310BF">
        <w:t>, located c. 1.8km to the south.</w:t>
      </w:r>
      <w:r w:rsidR="00F92591">
        <w:t xml:space="preserve">  There are </w:t>
      </w:r>
      <w:proofErr w:type="gramStart"/>
      <w:r w:rsidR="00F92591">
        <w:t>a number of</w:t>
      </w:r>
      <w:proofErr w:type="gramEnd"/>
      <w:r w:rsidR="00F92591">
        <w:t xml:space="preserve"> dwellings located to the east of the site off the N67.</w:t>
      </w:r>
    </w:p>
    <w:p w14:paraId="3F9AAA97" w14:textId="0B914402" w:rsidR="008F6CF3" w:rsidRDefault="008F6CF3" w:rsidP="0000559C">
      <w:pPr>
        <w:pStyle w:val="CBody2"/>
        <w:numPr>
          <w:ilvl w:val="0"/>
          <w:numId w:val="0"/>
        </w:numPr>
        <w:jc w:val="both"/>
      </w:pPr>
      <w:r>
        <w:t>The existing Power Station site</w:t>
      </w:r>
      <w:r w:rsidR="00C342CE">
        <w:t xml:space="preserve"> measures c. 42 hectares and</w:t>
      </w:r>
      <w:r w:rsidR="005C40C7">
        <w:t xml:space="preserve"> includes Tarbert HFO Power Station, Temporary Emergency Generation (TEG) Power Plant</w:t>
      </w:r>
      <w:r w:rsidR="008D5288">
        <w:t xml:space="preserve"> (under construction), the National Oil Reserves Agency (NORA) tank farm and an existing jetty facility </w:t>
      </w:r>
      <w:r w:rsidR="00AF3A31">
        <w:t>(Referred to as SSE Tarbert</w:t>
      </w:r>
      <w:r w:rsidR="00C342CE">
        <w:t>)</w:t>
      </w:r>
      <w:r w:rsidR="0057700B">
        <w:t>.</w:t>
      </w:r>
      <w:r w:rsidR="001851DC">
        <w:t xml:space="preserve">  </w:t>
      </w:r>
      <w:r w:rsidR="000075B7">
        <w:t>The generation station at SSE Tarbert</w:t>
      </w:r>
      <w:r w:rsidR="001851DC">
        <w:t xml:space="preserve"> was</w:t>
      </w:r>
      <w:r w:rsidR="00C34B6D">
        <w:t xml:space="preserve"> originally</w:t>
      </w:r>
      <w:r w:rsidR="001851DC">
        <w:t xml:space="preserve"> developed in the 1960’s</w:t>
      </w:r>
      <w:r w:rsidR="000075B7">
        <w:t>.</w:t>
      </w:r>
      <w:r w:rsidR="001851DC">
        <w:t xml:space="preserve"> </w:t>
      </w:r>
    </w:p>
    <w:p w14:paraId="0237E7A8" w14:textId="5F2CEB71" w:rsidR="00425EBD" w:rsidRDefault="00425EBD" w:rsidP="0000559C">
      <w:pPr>
        <w:pStyle w:val="CBody2"/>
        <w:numPr>
          <w:ilvl w:val="0"/>
          <w:numId w:val="0"/>
        </w:numPr>
        <w:jc w:val="both"/>
      </w:pPr>
      <w:r>
        <w:t>The Development Site is surround</w:t>
      </w:r>
      <w:r w:rsidR="00B16B6F">
        <w:t>ed</w:t>
      </w:r>
      <w:r>
        <w:t xml:space="preserve"> by the </w:t>
      </w:r>
      <w:proofErr w:type="gramStart"/>
      <w:r>
        <w:t>following;</w:t>
      </w:r>
      <w:proofErr w:type="gramEnd"/>
    </w:p>
    <w:p w14:paraId="165506D9" w14:textId="5AE6B5C9" w:rsidR="00425EBD" w:rsidRDefault="00425EBD" w:rsidP="009354E9">
      <w:pPr>
        <w:pStyle w:val="ListParagraph"/>
        <w:numPr>
          <w:ilvl w:val="0"/>
          <w:numId w:val="15"/>
        </w:numPr>
        <w:ind w:left="851" w:hanging="567"/>
        <w:jc w:val="both"/>
      </w:pPr>
      <w:r w:rsidRPr="0001614E">
        <w:rPr>
          <w:b/>
          <w:bCs/>
        </w:rPr>
        <w:t>North</w:t>
      </w:r>
      <w:r>
        <w:t xml:space="preserve"> – Outbuildings, storage tanks, Tarbert Lighthouse and the Shannon </w:t>
      </w:r>
      <w:proofErr w:type="gramStart"/>
      <w:r>
        <w:t>Estuary;</w:t>
      </w:r>
      <w:proofErr w:type="gramEnd"/>
    </w:p>
    <w:p w14:paraId="7C621C5A" w14:textId="3B962211" w:rsidR="00425EBD" w:rsidRDefault="00425EBD" w:rsidP="009354E9">
      <w:pPr>
        <w:pStyle w:val="ListParagraph"/>
        <w:numPr>
          <w:ilvl w:val="0"/>
          <w:numId w:val="15"/>
        </w:numPr>
        <w:ind w:left="851" w:hanging="567"/>
        <w:jc w:val="both"/>
      </w:pPr>
      <w:r w:rsidRPr="0001614E">
        <w:rPr>
          <w:b/>
          <w:bCs/>
        </w:rPr>
        <w:t>East</w:t>
      </w:r>
      <w:r>
        <w:t xml:space="preserve"> – The existing Tarbert HFO Power Station, staff car parking and </w:t>
      </w:r>
      <w:proofErr w:type="gramStart"/>
      <w:r>
        <w:t>visitors</w:t>
      </w:r>
      <w:proofErr w:type="gramEnd"/>
      <w:r>
        <w:t xml:space="preserve"> car parking areas, the northern site entrance and the Shannon Estuary;</w:t>
      </w:r>
    </w:p>
    <w:p w14:paraId="37BB6001" w14:textId="3E3C79C4" w:rsidR="00425EBD" w:rsidRDefault="007D430C" w:rsidP="009354E9">
      <w:pPr>
        <w:pStyle w:val="ListParagraph"/>
        <w:numPr>
          <w:ilvl w:val="0"/>
          <w:numId w:val="15"/>
        </w:numPr>
        <w:ind w:left="851" w:hanging="567"/>
        <w:jc w:val="both"/>
      </w:pPr>
      <w:r w:rsidRPr="0001614E">
        <w:rPr>
          <w:b/>
          <w:bCs/>
        </w:rPr>
        <w:t>South-east</w:t>
      </w:r>
      <w:r>
        <w:t xml:space="preserve"> – Existing site reservoir, the Tarber</w:t>
      </w:r>
      <w:r w:rsidR="00FE3F7C">
        <w:t>t</w:t>
      </w:r>
      <w:r>
        <w:t xml:space="preserve"> – Killimer ferry terminal and the N67 national Secondary </w:t>
      </w:r>
      <w:proofErr w:type="gramStart"/>
      <w:r>
        <w:t>road;</w:t>
      </w:r>
      <w:proofErr w:type="gramEnd"/>
    </w:p>
    <w:p w14:paraId="2D490FF1" w14:textId="753772C2" w:rsidR="007D430C" w:rsidRDefault="007D430C" w:rsidP="009354E9">
      <w:pPr>
        <w:pStyle w:val="ListParagraph"/>
        <w:numPr>
          <w:ilvl w:val="0"/>
          <w:numId w:val="15"/>
        </w:numPr>
        <w:ind w:left="851" w:hanging="567"/>
        <w:jc w:val="both"/>
      </w:pPr>
      <w:r w:rsidRPr="0001614E">
        <w:rPr>
          <w:b/>
          <w:bCs/>
        </w:rPr>
        <w:t>South</w:t>
      </w:r>
      <w:r>
        <w:t xml:space="preserve"> – 110kV and 220kV electrical transmission substations and a lagoon draining the Shannon Estuary and agricultural lands further </w:t>
      </w:r>
      <w:proofErr w:type="gramStart"/>
      <w:r>
        <w:t>south;</w:t>
      </w:r>
      <w:proofErr w:type="gramEnd"/>
    </w:p>
    <w:p w14:paraId="3B586D35" w14:textId="21B9AC7E" w:rsidR="007D430C" w:rsidRDefault="007D430C" w:rsidP="009354E9">
      <w:pPr>
        <w:pStyle w:val="ListParagraph"/>
        <w:numPr>
          <w:ilvl w:val="0"/>
          <w:numId w:val="15"/>
        </w:numPr>
        <w:ind w:left="851" w:hanging="567"/>
        <w:jc w:val="both"/>
      </w:pPr>
      <w:r w:rsidRPr="0001614E">
        <w:rPr>
          <w:b/>
          <w:bCs/>
        </w:rPr>
        <w:t>South-west</w:t>
      </w:r>
      <w:r>
        <w:t xml:space="preserve"> – the TEG site</w:t>
      </w:r>
      <w:r w:rsidR="0062098A">
        <w:t xml:space="preserve"> and the National Oil Reserves Agency (NORA) tank </w:t>
      </w:r>
      <w:proofErr w:type="gramStart"/>
      <w:r w:rsidR="0062098A">
        <w:t>farm;</w:t>
      </w:r>
      <w:proofErr w:type="gramEnd"/>
    </w:p>
    <w:p w14:paraId="31415CEC" w14:textId="41597E7C" w:rsidR="005A257F" w:rsidRDefault="0062098A" w:rsidP="009354E9">
      <w:pPr>
        <w:pStyle w:val="ListParagraph"/>
        <w:numPr>
          <w:ilvl w:val="0"/>
          <w:numId w:val="15"/>
        </w:numPr>
        <w:ind w:left="851" w:hanging="567"/>
        <w:jc w:val="both"/>
      </w:pPr>
      <w:r w:rsidRPr="0001614E">
        <w:rPr>
          <w:b/>
          <w:bCs/>
        </w:rPr>
        <w:t xml:space="preserve">West </w:t>
      </w:r>
      <w:r>
        <w:t>– HFO fuel storage tanks</w:t>
      </w:r>
      <w:r w:rsidR="0001614E">
        <w:t>.</w:t>
      </w:r>
    </w:p>
    <w:p w14:paraId="2830E6B8" w14:textId="425B4B9A" w:rsidR="008449A9" w:rsidRDefault="008449A9" w:rsidP="00D467A7">
      <w:pPr>
        <w:pStyle w:val="CBody2"/>
        <w:numPr>
          <w:ilvl w:val="0"/>
          <w:numId w:val="0"/>
        </w:numPr>
        <w:jc w:val="both"/>
      </w:pPr>
      <w:r w:rsidRPr="008449A9">
        <w:t>The Site is located adjacent to the Lower River Shannon Special Area of Conservation (SAC) and the River Shannon and River Fergus Estuaries Special Protection Area (SPA).  Tarbert Bay is a proposed Natural Heritage Area (pNHA).</w:t>
      </w:r>
    </w:p>
    <w:p w14:paraId="38EBAC32" w14:textId="13D68C00" w:rsidR="005A257F" w:rsidRDefault="005F3E30" w:rsidP="00092198">
      <w:pPr>
        <w:pStyle w:val="Heading2"/>
      </w:pPr>
      <w:r>
        <w:t xml:space="preserve">Site </w:t>
      </w:r>
      <w:r w:rsidR="005A257F">
        <w:t>History</w:t>
      </w:r>
    </w:p>
    <w:p w14:paraId="319FCDBF" w14:textId="5E48CBFC" w:rsidR="005F3E30" w:rsidRDefault="00397D13" w:rsidP="0000559C">
      <w:pPr>
        <w:pStyle w:val="CBody2"/>
        <w:numPr>
          <w:ilvl w:val="0"/>
          <w:numId w:val="0"/>
        </w:numPr>
        <w:jc w:val="both"/>
      </w:pPr>
      <w:r>
        <w:t>The Tarbert HFO Power Station at SSE Tarbert was developed in the 1960’s as a 626 MWe Heavy Fuel Oil (HFO) fired power plant, which ha</w:t>
      </w:r>
      <w:r w:rsidR="00B16B6F">
        <w:t>s</w:t>
      </w:r>
      <w:r>
        <w:t xml:space="preserve"> been operational since 1969. The Tarbert HFO Power Station was constructed in two stages, units one and two commissioned in 1969 and units three and four commissioned in 1976 and 1977 respectively.</w:t>
      </w:r>
      <w:r w:rsidR="00A15F8A">
        <w:t xml:space="preserve">  There are four generating units at the station, two with a capacity of 57</w:t>
      </w:r>
      <w:r w:rsidR="005A759A">
        <w:t>M</w:t>
      </w:r>
      <w:r w:rsidR="00C82698">
        <w:t>W</w:t>
      </w:r>
      <w:r w:rsidR="005A759A">
        <w:t>e each and two with a capacity of 256M</w:t>
      </w:r>
      <w:r w:rsidR="00C82698">
        <w:t>W</w:t>
      </w:r>
      <w:r w:rsidR="005A759A">
        <w:t xml:space="preserve">e each.  </w:t>
      </w:r>
      <w:r w:rsidR="00C82698">
        <w:t xml:space="preserve">Generating </w:t>
      </w:r>
      <w:r w:rsidR="005A759A">
        <w:t xml:space="preserve">Units </w:t>
      </w:r>
      <w:r w:rsidR="009A6169">
        <w:t xml:space="preserve">three and four </w:t>
      </w:r>
      <w:r w:rsidR="00C82698">
        <w:t xml:space="preserve">(256Mwe each) </w:t>
      </w:r>
      <w:r w:rsidR="009A6169">
        <w:t>were refurbished in 2003 and 2004 and are fuelled by HFO with both Gas Oil and propane used as a start-up fuel</w:t>
      </w:r>
      <w:r w:rsidR="00B00969">
        <w:t xml:space="preserve">.  </w:t>
      </w:r>
    </w:p>
    <w:p w14:paraId="147E80C7" w14:textId="7088EB8D" w:rsidR="00E51541" w:rsidRDefault="005F3E30" w:rsidP="0000559C">
      <w:pPr>
        <w:pStyle w:val="CBody2"/>
        <w:numPr>
          <w:ilvl w:val="0"/>
          <w:numId w:val="0"/>
        </w:numPr>
        <w:jc w:val="both"/>
      </w:pPr>
      <w:r>
        <w:lastRenderedPageBreak/>
        <w:t xml:space="preserve">There are </w:t>
      </w:r>
      <w:proofErr w:type="gramStart"/>
      <w:r>
        <w:t>a number of</w:t>
      </w:r>
      <w:proofErr w:type="gramEnd"/>
      <w:r>
        <w:t xml:space="preserve"> fuel storage tanks adjacent </w:t>
      </w:r>
      <w:r w:rsidR="00EA5439">
        <w:t xml:space="preserve">to </w:t>
      </w:r>
      <w:r>
        <w:t>the existing Tarbert HFO Power Station.</w:t>
      </w:r>
      <w:r w:rsidR="00EA5439">
        <w:t xml:space="preserve"> </w:t>
      </w:r>
      <w:r>
        <w:t xml:space="preserve"> The ‘Island Tank Farm’ </w:t>
      </w:r>
      <w:r w:rsidR="00E51541">
        <w:t xml:space="preserve">within the Proposed Development Site </w:t>
      </w:r>
      <w:r>
        <w:t xml:space="preserve">comprises </w:t>
      </w:r>
      <w:r w:rsidR="00587362">
        <w:t>four</w:t>
      </w:r>
      <w:r>
        <w:t xml:space="preserve"> HFO tanks, each with the capacity of 25,000 tonnes</w:t>
      </w:r>
      <w:r w:rsidR="00EA5439">
        <w:t>, only two of which are currently in use</w:t>
      </w:r>
      <w:r>
        <w:t xml:space="preserve">. </w:t>
      </w:r>
      <w:r w:rsidR="00EA5439">
        <w:t xml:space="preserve"> </w:t>
      </w:r>
    </w:p>
    <w:p w14:paraId="06767791" w14:textId="7C49AAA7" w:rsidR="0020546C" w:rsidRPr="00BF395A" w:rsidRDefault="005F3E30" w:rsidP="0000559C">
      <w:pPr>
        <w:pStyle w:val="CBody2"/>
        <w:numPr>
          <w:ilvl w:val="0"/>
          <w:numId w:val="0"/>
        </w:numPr>
        <w:jc w:val="both"/>
        <w:rPr>
          <w:b/>
          <w:bCs/>
        </w:rPr>
      </w:pPr>
      <w:r>
        <w:t xml:space="preserve">The ‘Mainland Tank Farm’ located 350m to the west of the Proposed Development Site includes </w:t>
      </w:r>
      <w:r w:rsidR="00D103E1">
        <w:t>four</w:t>
      </w:r>
      <w:r>
        <w:t xml:space="preserve"> tanks which are not related to the power generation that occurs at SSE Tarbert and are under the control of the National Oil Reserves Agency (NORA) providing a national reserve. </w:t>
      </w:r>
    </w:p>
    <w:p w14:paraId="238DEF84" w14:textId="20852208" w:rsidR="005F3E30" w:rsidRPr="001A7B8E" w:rsidRDefault="005F3E30" w:rsidP="00092198">
      <w:pPr>
        <w:pStyle w:val="Heading2"/>
      </w:pPr>
      <w:r w:rsidRPr="001A7B8E">
        <w:t>Planning History</w:t>
      </w:r>
    </w:p>
    <w:p w14:paraId="147D6D0B" w14:textId="3BB09E3B" w:rsidR="00080412" w:rsidRPr="00EC6DEF" w:rsidRDefault="00080412" w:rsidP="00EC6DEF">
      <w:pPr>
        <w:pStyle w:val="CBody2"/>
        <w:rPr>
          <w:b/>
          <w:bCs/>
        </w:rPr>
      </w:pPr>
      <w:r w:rsidRPr="00EC6DEF">
        <w:rPr>
          <w:b/>
          <w:bCs/>
        </w:rPr>
        <w:t>Tarbert Generating Facility, Tarbert Island</w:t>
      </w:r>
    </w:p>
    <w:p w14:paraId="4B359FA1" w14:textId="1B1701EC" w:rsidR="005A257F" w:rsidRPr="00503365" w:rsidRDefault="00E14F61" w:rsidP="009354E9">
      <w:pPr>
        <w:pStyle w:val="BBody1"/>
        <w:numPr>
          <w:ilvl w:val="0"/>
          <w:numId w:val="16"/>
        </w:numPr>
        <w:jc w:val="both"/>
        <w:rPr>
          <w:b/>
          <w:bCs/>
        </w:rPr>
      </w:pPr>
      <w:r>
        <w:rPr>
          <w:b/>
          <w:bCs/>
        </w:rPr>
        <w:t>File Ref</w:t>
      </w:r>
      <w:r w:rsidR="006761D0">
        <w:rPr>
          <w:b/>
          <w:bCs/>
        </w:rPr>
        <w:t>. 23350</w:t>
      </w:r>
      <w:r w:rsidR="00B404D2">
        <w:rPr>
          <w:b/>
          <w:bCs/>
        </w:rPr>
        <w:t xml:space="preserve">:  </w:t>
      </w:r>
      <w:r w:rsidR="003C23F1" w:rsidRPr="00734067">
        <w:rPr>
          <w:b/>
          <w:bCs/>
        </w:rPr>
        <w:t>Tarbert</w:t>
      </w:r>
      <w:r w:rsidR="00B46F32" w:rsidRPr="00734067">
        <w:rPr>
          <w:b/>
          <w:bCs/>
        </w:rPr>
        <w:t xml:space="preserve"> </w:t>
      </w:r>
      <w:r w:rsidR="008821B5" w:rsidRPr="00734067">
        <w:rPr>
          <w:b/>
          <w:bCs/>
        </w:rPr>
        <w:t>220KV Substation</w:t>
      </w:r>
      <w:r w:rsidR="00734067">
        <w:t xml:space="preserve"> -</w:t>
      </w:r>
      <w:r w:rsidR="00BD25D1">
        <w:t xml:space="preserve"> Permission granted </w:t>
      </w:r>
      <w:r w:rsidR="00031FF4">
        <w:t xml:space="preserve">on 17/01/2024 </w:t>
      </w:r>
      <w:r w:rsidR="00BD25D1">
        <w:t>fo</w:t>
      </w:r>
      <w:r w:rsidR="00BD25D1" w:rsidRPr="00F75B39">
        <w:t xml:space="preserve">r </w:t>
      </w:r>
      <w:r w:rsidR="003E2594" w:rsidRPr="00F75B39">
        <w:t xml:space="preserve">the decommissioning of some equipment/cables, and installation of new equipment/cable layouts </w:t>
      </w:r>
      <w:r w:rsidR="00F75B39" w:rsidRPr="00F75B39">
        <w:t>to accommodate the replaced 220KV submarine cable circuits crossing beneath the Shannon Estuary</w:t>
      </w:r>
      <w:r w:rsidR="00552EB3">
        <w:t xml:space="preserve"> on a site of 6.9ha</w:t>
      </w:r>
      <w:r w:rsidR="00F75B39" w:rsidRPr="00F75B39">
        <w:t xml:space="preserve">. </w:t>
      </w:r>
    </w:p>
    <w:p w14:paraId="237E1F88" w14:textId="59D79F64" w:rsidR="00503365" w:rsidRPr="00687D83" w:rsidRDefault="00503365" w:rsidP="009354E9">
      <w:pPr>
        <w:pStyle w:val="CBody2"/>
        <w:numPr>
          <w:ilvl w:val="0"/>
          <w:numId w:val="16"/>
        </w:numPr>
        <w:jc w:val="both"/>
      </w:pPr>
      <w:r w:rsidRPr="00687D83">
        <w:rPr>
          <w:b/>
          <w:bCs/>
        </w:rPr>
        <w:t>ABP-316229-23</w:t>
      </w:r>
      <w:r>
        <w:t xml:space="preserve">.  </w:t>
      </w:r>
      <w:r w:rsidR="00B26BA3">
        <w:t xml:space="preserve">SID Pre application consultation </w:t>
      </w:r>
      <w:r w:rsidR="00AC7E9B">
        <w:t>for</w:t>
      </w:r>
      <w:r w:rsidR="00720DC8">
        <w:t xml:space="preserve"> the</w:t>
      </w:r>
      <w:r w:rsidR="00AC7E9B">
        <w:t xml:space="preserve"> current application</w:t>
      </w:r>
      <w:r w:rsidR="001B1BDA">
        <w:t>, i.e</w:t>
      </w:r>
      <w:r w:rsidR="00CF7DFB">
        <w:t>.</w:t>
      </w:r>
      <w:r w:rsidR="001B1BDA">
        <w:t xml:space="preserve"> 350MW Low Carbon Open Cycle Gas Turbine (OCGT).  The Board determined that the development was strategic infrastructure.</w:t>
      </w:r>
    </w:p>
    <w:p w14:paraId="7BE3E787" w14:textId="743CAF69" w:rsidR="0053487D" w:rsidRPr="009F21A0" w:rsidRDefault="00CA6DA2" w:rsidP="009354E9">
      <w:pPr>
        <w:pStyle w:val="BBody1"/>
        <w:numPr>
          <w:ilvl w:val="0"/>
          <w:numId w:val="16"/>
        </w:numPr>
        <w:jc w:val="both"/>
        <w:rPr>
          <w:rStyle w:val="CBody2Char"/>
          <w:b/>
          <w:bCs/>
        </w:rPr>
      </w:pPr>
      <w:r>
        <w:rPr>
          <w:b/>
          <w:bCs/>
        </w:rPr>
        <w:t>ABP-315838-23</w:t>
      </w:r>
      <w:r w:rsidR="00B404D2">
        <w:rPr>
          <w:b/>
          <w:bCs/>
        </w:rPr>
        <w:t xml:space="preserve">:  </w:t>
      </w:r>
      <w:r w:rsidR="00DB0A66" w:rsidRPr="004B5368">
        <w:t xml:space="preserve">Permission </w:t>
      </w:r>
      <w:r w:rsidR="004B5368" w:rsidRPr="004B5368">
        <w:t xml:space="preserve">granted </w:t>
      </w:r>
      <w:r w:rsidR="008F29F2">
        <w:t>to SSE Generation Ireland</w:t>
      </w:r>
      <w:r w:rsidR="00FE3F7C">
        <w:t xml:space="preserve"> </w:t>
      </w:r>
      <w:r w:rsidR="008F29F2">
        <w:t xml:space="preserve">Limited </w:t>
      </w:r>
      <w:r w:rsidR="004B5368">
        <w:t xml:space="preserve">on 29/03/2024 </w:t>
      </w:r>
      <w:r w:rsidR="004B5368" w:rsidRPr="004B5368">
        <w:t>for an</w:t>
      </w:r>
      <w:r w:rsidR="004B5368">
        <w:rPr>
          <w:b/>
          <w:bCs/>
        </w:rPr>
        <w:t xml:space="preserve"> </w:t>
      </w:r>
      <w:r w:rsidR="004B5368">
        <w:rPr>
          <w:rStyle w:val="CBody2Char"/>
        </w:rPr>
        <w:t>a</w:t>
      </w:r>
      <w:r w:rsidR="00DB0A66" w:rsidRPr="00DB0A66">
        <w:rPr>
          <w:rStyle w:val="CBody2Char"/>
        </w:rPr>
        <w:t xml:space="preserve">pplication under Section 4 of the Development (Emergency Electricity Generation) Act 2022 (the Act) </w:t>
      </w:r>
      <w:r w:rsidR="00F5027C">
        <w:rPr>
          <w:rStyle w:val="CBody2Char"/>
        </w:rPr>
        <w:t xml:space="preserve">for a proposed development comprising the installation and operation of temporary emergency electricity generating plant, recommended </w:t>
      </w:r>
      <w:proofErr w:type="gramStart"/>
      <w:r w:rsidR="00F5027C">
        <w:rPr>
          <w:rStyle w:val="CBody2Char"/>
        </w:rPr>
        <w:t>a number of</w:t>
      </w:r>
      <w:proofErr w:type="gramEnd"/>
      <w:r w:rsidR="00F5027C">
        <w:rPr>
          <w:rStyle w:val="CBody2Char"/>
        </w:rPr>
        <w:t xml:space="preserve"> conditions to be attached to any approval for the dev</w:t>
      </w:r>
      <w:r w:rsidR="000D4A82">
        <w:rPr>
          <w:rStyle w:val="CBody2Char"/>
        </w:rPr>
        <w:t xml:space="preserve">elopment to be issued by the Minister for the Environment, Climate and Communications.  </w:t>
      </w:r>
    </w:p>
    <w:p w14:paraId="62E5DCF7" w14:textId="5D8CC377" w:rsidR="009F21A0" w:rsidRPr="005A257F" w:rsidRDefault="0005502A" w:rsidP="009354E9">
      <w:pPr>
        <w:pStyle w:val="CBody2"/>
        <w:numPr>
          <w:ilvl w:val="2"/>
          <w:numId w:val="21"/>
        </w:numPr>
        <w:ind w:left="709" w:hanging="425"/>
        <w:jc w:val="both"/>
      </w:pPr>
      <w:r w:rsidRPr="0086442D">
        <w:rPr>
          <w:b/>
          <w:bCs/>
        </w:rPr>
        <w:t>ABP-313661-22</w:t>
      </w:r>
      <w:r w:rsidR="00B404D2">
        <w:t xml:space="preserve">:  </w:t>
      </w:r>
      <w:r w:rsidR="00B23234">
        <w:t>SID Pre-application consultation request in respect of the proposed upgrading of the Prospect – Tarbert 220 kV Underground Cable across the estuary, and associated infrastructure</w:t>
      </w:r>
      <w:r w:rsidR="0086442D">
        <w:t>.  The Board determined that the development was not strategic infrastructure.</w:t>
      </w:r>
    </w:p>
    <w:p w14:paraId="5C3CD11A" w14:textId="01E44DC7" w:rsidR="005A257F" w:rsidRDefault="00A944DE" w:rsidP="009354E9">
      <w:pPr>
        <w:pStyle w:val="BBody1"/>
        <w:numPr>
          <w:ilvl w:val="0"/>
          <w:numId w:val="16"/>
        </w:numPr>
        <w:jc w:val="both"/>
      </w:pPr>
      <w:r w:rsidRPr="00C84198">
        <w:rPr>
          <w:b/>
          <w:bCs/>
        </w:rPr>
        <w:lastRenderedPageBreak/>
        <w:t>File Ref</w:t>
      </w:r>
      <w:r w:rsidR="001D7AF0">
        <w:rPr>
          <w:b/>
          <w:bCs/>
        </w:rPr>
        <w:t>.</w:t>
      </w:r>
      <w:r w:rsidRPr="00C84198">
        <w:rPr>
          <w:b/>
          <w:bCs/>
        </w:rPr>
        <w:t xml:space="preserve"> 18/392</w:t>
      </w:r>
      <w:r w:rsidR="00B404D2">
        <w:t xml:space="preserve">:  </w:t>
      </w:r>
      <w:r w:rsidR="00734067" w:rsidRPr="00734067">
        <w:rPr>
          <w:b/>
          <w:bCs/>
        </w:rPr>
        <w:t>Battery Storage Facility</w:t>
      </w:r>
      <w:r w:rsidR="00734067">
        <w:t xml:space="preserve"> </w:t>
      </w:r>
      <w:r w:rsidR="00564C42">
        <w:t>–</w:t>
      </w:r>
      <w:r w:rsidR="00734067">
        <w:t xml:space="preserve"> </w:t>
      </w:r>
      <w:r w:rsidR="00564C42">
        <w:t xml:space="preserve">A ten-year </w:t>
      </w:r>
      <w:r w:rsidR="0055319A">
        <w:t>p</w:t>
      </w:r>
      <w:r w:rsidR="00D8290E">
        <w:t xml:space="preserve">lanning </w:t>
      </w:r>
      <w:r w:rsidR="0055319A">
        <w:t>p</w:t>
      </w:r>
      <w:r w:rsidR="00C84198">
        <w:t>ermission</w:t>
      </w:r>
      <w:r w:rsidR="00D8290E">
        <w:t xml:space="preserve"> was</w:t>
      </w:r>
      <w:r w:rsidR="00C84198">
        <w:t xml:space="preserve"> granted</w:t>
      </w:r>
      <w:r w:rsidR="00D8290E">
        <w:t xml:space="preserve"> to SSE Renewables</w:t>
      </w:r>
      <w:r w:rsidR="00C84198">
        <w:t xml:space="preserve"> </w:t>
      </w:r>
      <w:r w:rsidR="00A1754A">
        <w:t>on 15/01/2019 to construct a battery storage facility</w:t>
      </w:r>
      <w:r w:rsidR="00C23A6E">
        <w:t>, to include 50 no. self-contained battery container units, a single-storey substation/control building, a cable route grid connection to the exi</w:t>
      </w:r>
      <w:r w:rsidR="0055319A">
        <w:t>sting substation and associated infrastructure</w:t>
      </w:r>
      <w:r w:rsidR="00A1754A">
        <w:t xml:space="preserve"> </w:t>
      </w:r>
      <w:r w:rsidR="0055319A">
        <w:t>o</w:t>
      </w:r>
      <w:r w:rsidR="00186B13">
        <w:t>n a site of c. 2.27ha</w:t>
      </w:r>
      <w:r w:rsidR="0055319A">
        <w:t>.</w:t>
      </w:r>
    </w:p>
    <w:p w14:paraId="7C225EA1" w14:textId="2D2DF3ED" w:rsidR="00565EB8" w:rsidRDefault="00565EB8" w:rsidP="009354E9">
      <w:pPr>
        <w:pStyle w:val="BBody1"/>
        <w:numPr>
          <w:ilvl w:val="0"/>
          <w:numId w:val="16"/>
        </w:numPr>
        <w:jc w:val="both"/>
      </w:pPr>
      <w:r w:rsidRPr="00A3795A">
        <w:rPr>
          <w:b/>
          <w:bCs/>
        </w:rPr>
        <w:t>File Ref</w:t>
      </w:r>
      <w:r w:rsidR="001D7AF0">
        <w:rPr>
          <w:b/>
          <w:bCs/>
        </w:rPr>
        <w:t>.</w:t>
      </w:r>
      <w:r w:rsidRPr="00A3795A">
        <w:rPr>
          <w:b/>
          <w:bCs/>
        </w:rPr>
        <w:t xml:space="preserve"> </w:t>
      </w:r>
      <w:r w:rsidR="00A3795A" w:rsidRPr="00A3795A">
        <w:rPr>
          <w:b/>
          <w:bCs/>
        </w:rPr>
        <w:t>13/4</w:t>
      </w:r>
      <w:r w:rsidR="006B5814">
        <w:rPr>
          <w:b/>
          <w:bCs/>
        </w:rPr>
        <w:t>7</w:t>
      </w:r>
      <w:r w:rsidR="00A3795A" w:rsidRPr="00A3795A">
        <w:rPr>
          <w:b/>
          <w:bCs/>
        </w:rPr>
        <w:t>7</w:t>
      </w:r>
      <w:r w:rsidR="00B404D2">
        <w:rPr>
          <w:b/>
          <w:bCs/>
        </w:rPr>
        <w:t xml:space="preserve">:  </w:t>
      </w:r>
      <w:r w:rsidR="00930416" w:rsidRPr="00D91F4E">
        <w:t xml:space="preserve">Permission granted on </w:t>
      </w:r>
      <w:r w:rsidR="00D91F4E" w:rsidRPr="00D91F4E">
        <w:t>23/09/2013</w:t>
      </w:r>
      <w:r w:rsidR="00930416" w:rsidRPr="00D91F4E">
        <w:t xml:space="preserve"> to alter the existing 220KV Station</w:t>
      </w:r>
      <w:r w:rsidR="008B5D1F" w:rsidRPr="00D91F4E">
        <w:t>.</w:t>
      </w:r>
      <w:r w:rsidR="0018240D">
        <w:t xml:space="preserve">  An extension of duration was granted under PA </w:t>
      </w:r>
      <w:r w:rsidR="00B16B6F">
        <w:t>R</w:t>
      </w:r>
      <w:r w:rsidR="0018240D">
        <w:t>ef. 13/9477.</w:t>
      </w:r>
    </w:p>
    <w:p w14:paraId="5EA09DB3" w14:textId="5775B073" w:rsidR="000410AA" w:rsidRDefault="000410AA" w:rsidP="009354E9">
      <w:pPr>
        <w:pStyle w:val="BBody1"/>
        <w:numPr>
          <w:ilvl w:val="0"/>
          <w:numId w:val="16"/>
        </w:numPr>
        <w:jc w:val="both"/>
      </w:pPr>
      <w:r>
        <w:rPr>
          <w:b/>
          <w:bCs/>
        </w:rPr>
        <w:t>ABP Ref.</w:t>
      </w:r>
      <w:r>
        <w:t xml:space="preserve"> </w:t>
      </w:r>
      <w:r w:rsidRPr="000410AA">
        <w:rPr>
          <w:b/>
          <w:bCs/>
        </w:rPr>
        <w:t>PA08.PA0017</w:t>
      </w:r>
      <w:r w:rsidR="00B404D2">
        <w:t>:</w:t>
      </w:r>
      <w:r w:rsidR="0005502A">
        <w:t xml:space="preserve"> </w:t>
      </w:r>
      <w:r>
        <w:t>10</w:t>
      </w:r>
      <w:r w:rsidR="00DE71BB">
        <w:t>-</w:t>
      </w:r>
      <w:r>
        <w:t>year permission was granted on 6/12/2010</w:t>
      </w:r>
      <w:r w:rsidR="00546EA0">
        <w:t xml:space="preserve"> for a 450MW Gas-fired Combined Cycle Power Plant on the </w:t>
      </w:r>
      <w:r w:rsidR="00810710">
        <w:t xml:space="preserve">western side of the generation station. </w:t>
      </w:r>
      <w:r w:rsidR="00E86D41">
        <w:t xml:space="preserve"> Conditions </w:t>
      </w:r>
      <w:proofErr w:type="gramStart"/>
      <w:r w:rsidR="00E86D41">
        <w:t>Included;</w:t>
      </w:r>
      <w:proofErr w:type="gramEnd"/>
    </w:p>
    <w:p w14:paraId="16EB0D2F" w14:textId="77777777" w:rsidR="00041A0B" w:rsidRDefault="00041A0B" w:rsidP="00041A0B">
      <w:pPr>
        <w:pStyle w:val="BBody1"/>
        <w:numPr>
          <w:ilvl w:val="0"/>
          <w:numId w:val="0"/>
        </w:numPr>
        <w:ind w:left="1440" w:hanging="720"/>
        <w:jc w:val="both"/>
      </w:pPr>
      <w:r>
        <w:t xml:space="preserve">5. </w:t>
      </w:r>
      <w:r>
        <w:tab/>
        <w:t xml:space="preserve">No development to take place prior to the implementation of an agreed traffic management plan including provision for signalised junctions and parking management at Bridewell St. </w:t>
      </w:r>
    </w:p>
    <w:p w14:paraId="7FAE026F" w14:textId="77777777" w:rsidR="00041A0B" w:rsidRDefault="00041A0B" w:rsidP="00041A0B">
      <w:pPr>
        <w:pStyle w:val="BBody1"/>
        <w:numPr>
          <w:ilvl w:val="0"/>
          <w:numId w:val="0"/>
        </w:numPr>
        <w:ind w:left="1440" w:hanging="720"/>
        <w:jc w:val="both"/>
      </w:pPr>
      <w:r>
        <w:t xml:space="preserve">12. </w:t>
      </w:r>
      <w:r>
        <w:tab/>
        <w:t xml:space="preserve">Prior to the commencement of any other works, the proposed flood defence measures shall be completed. An emergency plan shall make provision for maintenance of access along the Ferry Road during seasonal and extreme flood events. </w:t>
      </w:r>
    </w:p>
    <w:p w14:paraId="1DD4E266" w14:textId="48D4BF9F" w:rsidR="00041A0B" w:rsidRDefault="00041A0B" w:rsidP="00041A0B">
      <w:pPr>
        <w:pStyle w:val="BBody1"/>
        <w:numPr>
          <w:ilvl w:val="0"/>
          <w:numId w:val="0"/>
        </w:numPr>
        <w:ind w:left="1440" w:hanging="720"/>
        <w:jc w:val="both"/>
      </w:pPr>
      <w:r>
        <w:t>16.</w:t>
      </w:r>
      <w:r>
        <w:tab/>
        <w:t xml:space="preserve">Measures to facilitate the preservation, recording and protection of </w:t>
      </w:r>
      <w:r w:rsidR="00055AFB">
        <w:t xml:space="preserve">   </w:t>
      </w:r>
      <w:r>
        <w:t xml:space="preserve">archaeological materials or features that may exist within the site. </w:t>
      </w:r>
    </w:p>
    <w:p w14:paraId="165D48AE" w14:textId="24C81FAA" w:rsidR="00E86D41" w:rsidRDefault="00041A0B" w:rsidP="00041A0B">
      <w:pPr>
        <w:pStyle w:val="BBody1"/>
        <w:numPr>
          <w:ilvl w:val="0"/>
          <w:numId w:val="0"/>
        </w:numPr>
        <w:ind w:left="1440" w:hanging="720"/>
        <w:jc w:val="both"/>
      </w:pPr>
      <w:r>
        <w:t>20,</w:t>
      </w:r>
      <w:proofErr w:type="gramStart"/>
      <w:r>
        <w:t>21.A</w:t>
      </w:r>
      <w:proofErr w:type="gramEnd"/>
      <w:r>
        <w:t xml:space="preserve"> community gain fund to be managed by a Community Liaison Committee.</w:t>
      </w:r>
    </w:p>
    <w:p w14:paraId="473F0F05" w14:textId="6E9486F0" w:rsidR="005846E8" w:rsidRDefault="005846E8" w:rsidP="009354E9">
      <w:pPr>
        <w:pStyle w:val="BBody1"/>
        <w:numPr>
          <w:ilvl w:val="0"/>
          <w:numId w:val="16"/>
        </w:numPr>
        <w:jc w:val="both"/>
      </w:pPr>
      <w:r w:rsidRPr="00C0746A">
        <w:rPr>
          <w:b/>
          <w:bCs/>
        </w:rPr>
        <w:t>File Ref</w:t>
      </w:r>
      <w:r w:rsidR="001D7AF0">
        <w:rPr>
          <w:b/>
          <w:bCs/>
        </w:rPr>
        <w:t>.</w:t>
      </w:r>
      <w:r w:rsidRPr="00C0746A">
        <w:rPr>
          <w:b/>
          <w:bCs/>
        </w:rPr>
        <w:t xml:space="preserve"> 05/3882</w:t>
      </w:r>
      <w:r w:rsidR="003763D7">
        <w:t>:</w:t>
      </w:r>
      <w:r>
        <w:t xml:space="preserve"> Permission granted to install an electrostatic preci</w:t>
      </w:r>
      <w:r w:rsidR="006128CB">
        <w:t xml:space="preserve">pitators and ancillary plant and facilities to abate dust in compliance with conditions of the </w:t>
      </w:r>
      <w:r w:rsidR="00C0746A">
        <w:t>IPC licence from the EPA.</w:t>
      </w:r>
    </w:p>
    <w:p w14:paraId="4DB20E65" w14:textId="5FE7376A" w:rsidR="001D7AF0" w:rsidRDefault="001D7AF0" w:rsidP="009354E9">
      <w:pPr>
        <w:pStyle w:val="BBody1"/>
        <w:numPr>
          <w:ilvl w:val="0"/>
          <w:numId w:val="16"/>
        </w:numPr>
        <w:jc w:val="both"/>
      </w:pPr>
      <w:r w:rsidRPr="001D7AF0">
        <w:rPr>
          <w:b/>
          <w:bCs/>
        </w:rPr>
        <w:t>File Ref. 97/2500</w:t>
      </w:r>
      <w:r w:rsidR="003763D7">
        <w:t>:</w:t>
      </w:r>
      <w:r>
        <w:t xml:space="preserve"> </w:t>
      </w:r>
      <w:r w:rsidR="00B57A9A">
        <w:t>Permission granted for the erection of a sewage effluent treatment plant.</w:t>
      </w:r>
    </w:p>
    <w:p w14:paraId="2107F1B4" w14:textId="77777777" w:rsidR="00E40DCA" w:rsidRPr="004B5C94" w:rsidRDefault="000F3BD8" w:rsidP="00F938E5">
      <w:pPr>
        <w:pStyle w:val="EHead1"/>
        <w:jc w:val="both"/>
      </w:pPr>
      <w:bookmarkStart w:id="2" w:name="_Toc950632"/>
      <w:bookmarkStart w:id="3" w:name="_Toc171346780"/>
      <w:r w:rsidRPr="004B5C94">
        <w:lastRenderedPageBreak/>
        <w:t>Proposed Development</w:t>
      </w:r>
      <w:bookmarkEnd w:id="2"/>
      <w:bookmarkEnd w:id="3"/>
    </w:p>
    <w:p w14:paraId="22F2E0EC" w14:textId="380EBB2B" w:rsidR="0020546C" w:rsidRDefault="0020546C" w:rsidP="00092198">
      <w:pPr>
        <w:pStyle w:val="Heading2"/>
      </w:pPr>
      <w:r>
        <w:t>Documentation</w:t>
      </w:r>
    </w:p>
    <w:p w14:paraId="491900F2" w14:textId="60C15E31" w:rsidR="009426C0" w:rsidRPr="004A2964" w:rsidRDefault="009426C0" w:rsidP="009426C0">
      <w:pPr>
        <w:pStyle w:val="CBody2"/>
        <w:numPr>
          <w:ilvl w:val="0"/>
          <w:numId w:val="0"/>
        </w:numPr>
      </w:pPr>
      <w:r w:rsidRPr="004A2964">
        <w:t xml:space="preserve">The following documents accompany the planning </w:t>
      </w:r>
      <w:proofErr w:type="gramStart"/>
      <w:r w:rsidRPr="004A2964">
        <w:t>application;</w:t>
      </w:r>
      <w:proofErr w:type="gramEnd"/>
    </w:p>
    <w:p w14:paraId="5F461CED" w14:textId="77777777" w:rsidR="009426C0" w:rsidRPr="004A2964" w:rsidRDefault="009426C0" w:rsidP="009354E9">
      <w:pPr>
        <w:pStyle w:val="ListParagraph"/>
        <w:numPr>
          <w:ilvl w:val="0"/>
          <w:numId w:val="12"/>
        </w:numPr>
        <w:ind w:left="1080"/>
      </w:pPr>
      <w:r w:rsidRPr="004A2964">
        <w:t>Cover Letter &amp; Appendices</w:t>
      </w:r>
    </w:p>
    <w:p w14:paraId="1FD0A836" w14:textId="77777777" w:rsidR="009426C0" w:rsidRPr="004A2964" w:rsidRDefault="009426C0" w:rsidP="009354E9">
      <w:pPr>
        <w:pStyle w:val="ListParagraph"/>
        <w:numPr>
          <w:ilvl w:val="0"/>
          <w:numId w:val="12"/>
        </w:numPr>
        <w:ind w:left="1080"/>
      </w:pPr>
      <w:r w:rsidRPr="004A2964">
        <w:t>ABP SID Planning Application Form and Appendices</w:t>
      </w:r>
    </w:p>
    <w:p w14:paraId="22D1D99D" w14:textId="77777777" w:rsidR="009426C0" w:rsidRPr="004A2964" w:rsidRDefault="009426C0" w:rsidP="009354E9">
      <w:pPr>
        <w:pStyle w:val="ListParagraph"/>
        <w:numPr>
          <w:ilvl w:val="0"/>
          <w:numId w:val="12"/>
        </w:numPr>
        <w:ind w:left="1080"/>
      </w:pPr>
      <w:r w:rsidRPr="004A2964">
        <w:t>Planning Statement</w:t>
      </w:r>
    </w:p>
    <w:p w14:paraId="67962623" w14:textId="77777777" w:rsidR="009426C0" w:rsidRDefault="009426C0" w:rsidP="009354E9">
      <w:pPr>
        <w:pStyle w:val="ListParagraph"/>
        <w:numPr>
          <w:ilvl w:val="0"/>
          <w:numId w:val="12"/>
        </w:numPr>
        <w:ind w:left="1080"/>
      </w:pPr>
      <w:r w:rsidRPr="004A2964">
        <w:t>Environmental Impact Assessment Report (EIAR)</w:t>
      </w:r>
    </w:p>
    <w:p w14:paraId="551CDC0F" w14:textId="2522B35D" w:rsidR="0038500D" w:rsidRPr="0083368F" w:rsidRDefault="0038500D" w:rsidP="009354E9">
      <w:pPr>
        <w:pStyle w:val="ListParagraph"/>
        <w:numPr>
          <w:ilvl w:val="0"/>
          <w:numId w:val="12"/>
        </w:numPr>
        <w:ind w:left="1080"/>
      </w:pPr>
      <w:r w:rsidRPr="0083368F">
        <w:t xml:space="preserve">AA Screening and NIS (Appendix </w:t>
      </w:r>
      <w:r w:rsidR="0083368F" w:rsidRPr="0083368F">
        <w:t>9B</w:t>
      </w:r>
      <w:r w:rsidRPr="0083368F">
        <w:t xml:space="preserve"> of EIAR)</w:t>
      </w:r>
    </w:p>
    <w:p w14:paraId="0641FF36" w14:textId="169B5DC8" w:rsidR="009426C0" w:rsidRPr="004A2964" w:rsidRDefault="009426C0" w:rsidP="009354E9">
      <w:pPr>
        <w:pStyle w:val="ListParagraph"/>
        <w:numPr>
          <w:ilvl w:val="0"/>
          <w:numId w:val="12"/>
        </w:numPr>
        <w:ind w:left="1080"/>
      </w:pPr>
      <w:r w:rsidRPr="004A2964">
        <w:t xml:space="preserve">Landowner </w:t>
      </w:r>
      <w:r w:rsidR="004A2964" w:rsidRPr="004A2964">
        <w:t>Consent from ESB Networks</w:t>
      </w:r>
    </w:p>
    <w:p w14:paraId="2CE85CB6" w14:textId="77777777" w:rsidR="009426C0" w:rsidRPr="004A2964" w:rsidRDefault="009426C0" w:rsidP="009354E9">
      <w:pPr>
        <w:pStyle w:val="ListParagraph"/>
        <w:numPr>
          <w:ilvl w:val="0"/>
          <w:numId w:val="12"/>
        </w:numPr>
        <w:ind w:left="1080"/>
      </w:pPr>
      <w:r w:rsidRPr="004A2964">
        <w:t>Site Notices &amp; Newspaper Notices</w:t>
      </w:r>
    </w:p>
    <w:p w14:paraId="69397E64" w14:textId="77777777" w:rsidR="009426C0" w:rsidRPr="001F760D" w:rsidRDefault="009426C0" w:rsidP="009354E9">
      <w:pPr>
        <w:pStyle w:val="ListParagraph"/>
        <w:numPr>
          <w:ilvl w:val="0"/>
          <w:numId w:val="12"/>
        </w:numPr>
        <w:ind w:left="1080"/>
      </w:pPr>
      <w:r w:rsidRPr="001F760D">
        <w:t>Letters to Prescribed Bodies</w:t>
      </w:r>
    </w:p>
    <w:p w14:paraId="5DB2BF15" w14:textId="3D055970" w:rsidR="009426C0" w:rsidRPr="001F760D" w:rsidRDefault="001F760D" w:rsidP="009354E9">
      <w:pPr>
        <w:pStyle w:val="ListParagraph"/>
        <w:numPr>
          <w:ilvl w:val="0"/>
          <w:numId w:val="12"/>
        </w:numPr>
        <w:ind w:left="1080"/>
      </w:pPr>
      <w:r w:rsidRPr="001F760D">
        <w:t>Application Drawings</w:t>
      </w:r>
    </w:p>
    <w:p w14:paraId="76C8C117" w14:textId="4AE34DC0" w:rsidR="00F75160" w:rsidRPr="00F75160" w:rsidRDefault="00F75160" w:rsidP="00F75160">
      <w:pPr>
        <w:pStyle w:val="BBody1"/>
        <w:numPr>
          <w:ilvl w:val="0"/>
          <w:numId w:val="0"/>
        </w:numPr>
      </w:pPr>
      <w:r w:rsidRPr="00F75160">
        <w:t>The EIAR</w:t>
      </w:r>
      <w:r w:rsidR="00130BCF">
        <w:t xml:space="preserve">, which was prepared by </w:t>
      </w:r>
      <w:r w:rsidRPr="00F75160">
        <w:t xml:space="preserve">AECOM, 2023 is presented </w:t>
      </w:r>
      <w:r w:rsidR="00811967">
        <w:t xml:space="preserve">as </w:t>
      </w:r>
      <w:proofErr w:type="gramStart"/>
      <w:r w:rsidR="00811967">
        <w:t>follows;</w:t>
      </w:r>
      <w:proofErr w:type="gramEnd"/>
      <w:r w:rsidRPr="00F75160">
        <w:t xml:space="preserve">  </w:t>
      </w:r>
    </w:p>
    <w:p w14:paraId="598619BC" w14:textId="53CA3B05" w:rsidR="00F75160" w:rsidRPr="00F75160" w:rsidRDefault="00F75160" w:rsidP="009354E9">
      <w:pPr>
        <w:pStyle w:val="ListParagraph"/>
        <w:numPr>
          <w:ilvl w:val="0"/>
          <w:numId w:val="13"/>
        </w:numPr>
        <w:ind w:left="1134" w:hanging="425"/>
      </w:pPr>
      <w:r w:rsidRPr="00F75160">
        <w:t xml:space="preserve">Non-Technical Summary </w:t>
      </w:r>
    </w:p>
    <w:p w14:paraId="0103863F" w14:textId="3B1FF36C" w:rsidR="00F75160" w:rsidRPr="00F75160" w:rsidRDefault="00F75160" w:rsidP="009354E9">
      <w:pPr>
        <w:pStyle w:val="ListParagraph"/>
        <w:numPr>
          <w:ilvl w:val="0"/>
          <w:numId w:val="13"/>
        </w:numPr>
        <w:ind w:left="1134" w:hanging="425"/>
      </w:pPr>
      <w:r w:rsidRPr="00F75160">
        <w:t>Volume I: Environmental Impact Assessment Report (EIAR) (Main Text)</w:t>
      </w:r>
    </w:p>
    <w:p w14:paraId="195B808A" w14:textId="0EAE3785" w:rsidR="00F75160" w:rsidRPr="00F75160" w:rsidRDefault="00F75160" w:rsidP="009354E9">
      <w:pPr>
        <w:pStyle w:val="ListParagraph"/>
        <w:numPr>
          <w:ilvl w:val="0"/>
          <w:numId w:val="13"/>
        </w:numPr>
        <w:ind w:left="1134" w:hanging="425"/>
      </w:pPr>
      <w:r w:rsidRPr="00F75160">
        <w:t>Volume II: Appendices</w:t>
      </w:r>
    </w:p>
    <w:p w14:paraId="0215F6C9" w14:textId="6A9B86A9" w:rsidR="00F75160" w:rsidRPr="0000559C" w:rsidRDefault="00F75160" w:rsidP="009354E9">
      <w:pPr>
        <w:pStyle w:val="ListParagraph"/>
        <w:numPr>
          <w:ilvl w:val="0"/>
          <w:numId w:val="13"/>
        </w:numPr>
        <w:ind w:left="1134" w:hanging="425"/>
      </w:pPr>
      <w:r w:rsidRPr="00F75160">
        <w:t>Volume III: Figures</w:t>
      </w:r>
    </w:p>
    <w:p w14:paraId="5FDA9D3F" w14:textId="3F0D7388" w:rsidR="00DC5BF7" w:rsidRDefault="00DC5BF7" w:rsidP="00092198">
      <w:pPr>
        <w:pStyle w:val="Heading2"/>
      </w:pPr>
      <w:r>
        <w:t>D</w:t>
      </w:r>
      <w:r w:rsidR="000055C5">
        <w:t>evelopment Description</w:t>
      </w:r>
    </w:p>
    <w:p w14:paraId="3F8BCDC6" w14:textId="77777777" w:rsidR="0083368F" w:rsidRDefault="00DC5BF7" w:rsidP="002B0F88">
      <w:pPr>
        <w:pStyle w:val="CBody2"/>
        <w:numPr>
          <w:ilvl w:val="0"/>
          <w:numId w:val="0"/>
        </w:numPr>
        <w:jc w:val="both"/>
      </w:pPr>
      <w:r w:rsidRPr="000055C5">
        <w:t xml:space="preserve">The </w:t>
      </w:r>
      <w:r w:rsidR="00E92060">
        <w:t>P</w:t>
      </w:r>
      <w:r w:rsidR="000055C5" w:rsidRPr="000055C5">
        <w:t xml:space="preserve">roposed </w:t>
      </w:r>
      <w:r w:rsidR="00E92060">
        <w:t>D</w:t>
      </w:r>
      <w:r w:rsidR="000055C5" w:rsidRPr="000055C5">
        <w:t>evelopment consists of</w:t>
      </w:r>
      <w:r w:rsidR="000055C5">
        <w:t xml:space="preserve"> </w:t>
      </w:r>
      <w:r w:rsidR="002C5B78">
        <w:t>a</w:t>
      </w:r>
      <w:r w:rsidR="00F66DC2">
        <w:t>n Open Cycle Gas Turbine (</w:t>
      </w:r>
      <w:r w:rsidR="002C5B78">
        <w:t>OCGT</w:t>
      </w:r>
      <w:r w:rsidR="00F66DC2">
        <w:t>)</w:t>
      </w:r>
      <w:r w:rsidR="002C5B78">
        <w:t xml:space="preserve"> (350MW) plant fuelled by Hydrotreated Vegetable Oil (HVO). </w:t>
      </w:r>
      <w:r w:rsidR="0057670B">
        <w:t xml:space="preserve"> </w:t>
      </w:r>
      <w:r w:rsidR="002C5B78">
        <w:t xml:space="preserve">The Proposed Development will connect via an overhead cable 75m in length, to an existing electrical substation to the south of the OCGT building within the Site boundary. </w:t>
      </w:r>
      <w:r w:rsidR="0057670B">
        <w:t xml:space="preserve"> </w:t>
      </w:r>
      <w:r w:rsidR="002C5B78">
        <w:t>There will be no alterations to the electricity transmission system outside of the Site as part of the Proposed Development.</w:t>
      </w:r>
      <w:r w:rsidR="0057670B">
        <w:t xml:space="preserve"> </w:t>
      </w:r>
      <w:r w:rsidR="002C5B78">
        <w:t xml:space="preserve"> To accommodate the Proposed Development, demolition works of ancillary buildings/structures and foundations associated with the existing Tarbert HFO Power Station will be carried out. </w:t>
      </w:r>
      <w:r w:rsidR="0057670B">
        <w:t xml:space="preserve"> </w:t>
      </w:r>
      <w:r w:rsidR="002C5B78">
        <w:t>The Tarbert HFO Power Station will be decommissioned prior to commencement of the construction phase of the Proposed Development.</w:t>
      </w:r>
      <w:r w:rsidR="003329BB">
        <w:t xml:space="preserve">  </w:t>
      </w:r>
    </w:p>
    <w:p w14:paraId="6B7DDF62" w14:textId="2891C18A" w:rsidR="00DC5BF7" w:rsidRDefault="003329BB" w:rsidP="002B0F88">
      <w:pPr>
        <w:pStyle w:val="CBody2"/>
        <w:numPr>
          <w:ilvl w:val="0"/>
          <w:numId w:val="0"/>
        </w:numPr>
        <w:jc w:val="both"/>
      </w:pPr>
      <w:r>
        <w:t xml:space="preserve">The Proposed Development will run on Hydrotreated Vegetable Oil (HVO), which is a type of biofuel that is produced by processing waste feedstocks to create a fossil-free alternative to distillate-oil in accordance with European Union (EU) sustainability standards. </w:t>
      </w:r>
      <w:r w:rsidR="006914BF">
        <w:t xml:space="preserve"> </w:t>
      </w:r>
      <w:r>
        <w:t>Biofuels provide a transitional step away from fossil fuels and towards low-</w:t>
      </w:r>
      <w:r>
        <w:lastRenderedPageBreak/>
        <w:t>carbon electricity. It has lower greenhouse gas emissions profile across its lifetime when compared to alternatives such as diesel combustion.</w:t>
      </w:r>
    </w:p>
    <w:p w14:paraId="14E34EDA" w14:textId="77777777" w:rsidR="00B13027" w:rsidRDefault="00B13027" w:rsidP="002B0F88">
      <w:pPr>
        <w:pStyle w:val="CBody2"/>
        <w:numPr>
          <w:ilvl w:val="0"/>
          <w:numId w:val="0"/>
        </w:numPr>
        <w:jc w:val="both"/>
      </w:pPr>
      <w:r>
        <w:t>The plant will operate as a ‘peaking plant’, spending most of its time on standby and will be run to complement renewable power generation technology.  The objective of the development is to provide support to the electricity network during periods when there is a gap between renewable power generation and power demand.</w:t>
      </w:r>
    </w:p>
    <w:p w14:paraId="7E9A6294" w14:textId="235A8E97" w:rsidR="009550D8" w:rsidRDefault="009550D8" w:rsidP="002B0F88">
      <w:pPr>
        <w:pStyle w:val="CBody2"/>
        <w:numPr>
          <w:ilvl w:val="0"/>
          <w:numId w:val="0"/>
        </w:numPr>
        <w:jc w:val="both"/>
      </w:pPr>
      <w:r>
        <w:t>The Proposed Development will be available to operate 24-hours per day, seven days per week</w:t>
      </w:r>
      <w:r w:rsidR="00B67706">
        <w:t>,</w:t>
      </w:r>
      <w:r>
        <w:t xml:space="preserve"> </w:t>
      </w:r>
      <w:proofErr w:type="gramStart"/>
      <w:r>
        <w:t>with the exception of</w:t>
      </w:r>
      <w:proofErr w:type="gramEnd"/>
      <w:r>
        <w:t xml:space="preserve"> periods of scheduled and unscheduled outage such as for maintenance activities.</w:t>
      </w:r>
      <w:r w:rsidR="00B13027">
        <w:t xml:space="preserve"> </w:t>
      </w:r>
      <w:r>
        <w:t xml:space="preserve"> It is expected the plant will operate as and when required during periods when other sources of electricity generation are not available but will not exceed1</w:t>
      </w:r>
      <w:r w:rsidR="00070720">
        <w:t>,</w:t>
      </w:r>
      <w:r>
        <w:t>800 operational hours per annum.</w:t>
      </w:r>
    </w:p>
    <w:p w14:paraId="21B97E25" w14:textId="44E49B34" w:rsidR="00C85DDC" w:rsidRDefault="00C85DDC" w:rsidP="00E92060">
      <w:pPr>
        <w:pStyle w:val="BBody1"/>
        <w:numPr>
          <w:ilvl w:val="0"/>
          <w:numId w:val="0"/>
        </w:numPr>
        <w:jc w:val="both"/>
      </w:pPr>
      <w:r>
        <w:t xml:space="preserve">The proposed development will include the following </w:t>
      </w:r>
      <w:proofErr w:type="gramStart"/>
      <w:r>
        <w:t>components;</w:t>
      </w:r>
      <w:proofErr w:type="gramEnd"/>
    </w:p>
    <w:p w14:paraId="7E42F316" w14:textId="339355FD" w:rsidR="00227A67" w:rsidRDefault="00ED40B6" w:rsidP="009354E9">
      <w:pPr>
        <w:pStyle w:val="ListParagraph"/>
        <w:numPr>
          <w:ilvl w:val="0"/>
          <w:numId w:val="14"/>
        </w:numPr>
        <w:jc w:val="both"/>
      </w:pPr>
      <w:r>
        <w:t xml:space="preserve">OCGT power plant (350MW) and associated building (40m x 57m x 30m high) including air </w:t>
      </w:r>
      <w:proofErr w:type="gramStart"/>
      <w:r>
        <w:t>intake</w:t>
      </w:r>
      <w:r w:rsidR="004B0231">
        <w:t>;</w:t>
      </w:r>
      <w:proofErr w:type="gramEnd"/>
      <w:r>
        <w:t xml:space="preserve">  </w:t>
      </w:r>
    </w:p>
    <w:p w14:paraId="38B0CAC8" w14:textId="3431F47A" w:rsidR="00227A67" w:rsidRDefault="00ED40B6" w:rsidP="009354E9">
      <w:pPr>
        <w:pStyle w:val="ListParagraph"/>
        <w:numPr>
          <w:ilvl w:val="0"/>
          <w:numId w:val="14"/>
        </w:numPr>
        <w:jc w:val="both"/>
      </w:pPr>
      <w:r>
        <w:t xml:space="preserve">Emissions stack 55m in height (external diameter 9m) with continuous emissions monitoring systems (CEMS) </w:t>
      </w:r>
      <w:proofErr w:type="gramStart"/>
      <w:r>
        <w:t>platform</w:t>
      </w:r>
      <w:r w:rsidR="004B0231">
        <w:t>;</w:t>
      </w:r>
      <w:proofErr w:type="gramEnd"/>
    </w:p>
    <w:p w14:paraId="7AD72621" w14:textId="015F2BC6" w:rsidR="00227A67" w:rsidRDefault="00ED40B6" w:rsidP="009354E9">
      <w:pPr>
        <w:pStyle w:val="ListParagraph"/>
        <w:numPr>
          <w:ilvl w:val="0"/>
          <w:numId w:val="14"/>
        </w:numPr>
        <w:jc w:val="both"/>
      </w:pPr>
      <w:r>
        <w:t xml:space="preserve">Selective Catalytic Reduction (SCR) with air intake filters, dilution fans, and </w:t>
      </w:r>
      <w:proofErr w:type="gramStart"/>
      <w:r>
        <w:t>skid</w:t>
      </w:r>
      <w:r w:rsidR="004B0231">
        <w:t>;</w:t>
      </w:r>
      <w:proofErr w:type="gramEnd"/>
    </w:p>
    <w:p w14:paraId="1A452183" w14:textId="1A78BE4D" w:rsidR="00227A67" w:rsidRDefault="00ED40B6" w:rsidP="009354E9">
      <w:pPr>
        <w:pStyle w:val="ListParagraph"/>
        <w:numPr>
          <w:ilvl w:val="0"/>
          <w:numId w:val="14"/>
        </w:numPr>
        <w:jc w:val="both"/>
      </w:pPr>
      <w:r>
        <w:t>Generators fin fan coolers (OCGT) (23m x 6.4m x 6m high</w:t>
      </w:r>
      <w:proofErr w:type="gramStart"/>
      <w:r>
        <w:t>)</w:t>
      </w:r>
      <w:r w:rsidR="004B0231">
        <w:t>;</w:t>
      </w:r>
      <w:proofErr w:type="gramEnd"/>
    </w:p>
    <w:p w14:paraId="0AB14C1E" w14:textId="75B07964" w:rsidR="00227A67" w:rsidRDefault="00ED40B6" w:rsidP="009354E9">
      <w:pPr>
        <w:pStyle w:val="ListParagraph"/>
        <w:numPr>
          <w:ilvl w:val="0"/>
          <w:numId w:val="14"/>
        </w:numPr>
        <w:jc w:val="both"/>
      </w:pPr>
      <w:r>
        <w:t>Lube oil fin fan coolers (7m x 7.5m x 5m high</w:t>
      </w:r>
      <w:proofErr w:type="gramStart"/>
      <w:r>
        <w:t>)</w:t>
      </w:r>
      <w:r w:rsidR="004B0231">
        <w:t>;</w:t>
      </w:r>
      <w:proofErr w:type="gramEnd"/>
    </w:p>
    <w:p w14:paraId="4781B1E6" w14:textId="72BDFC72" w:rsidR="00227A67" w:rsidRDefault="00ED40B6" w:rsidP="009354E9">
      <w:pPr>
        <w:pStyle w:val="ListParagraph"/>
        <w:numPr>
          <w:ilvl w:val="0"/>
          <w:numId w:val="14"/>
        </w:numPr>
        <w:jc w:val="both"/>
      </w:pPr>
      <w:r>
        <w:t xml:space="preserve">One unit transformer and one grid transformer with a firewall (20m x 0.6m x 15m high) </w:t>
      </w:r>
      <w:proofErr w:type="gramStart"/>
      <w:r>
        <w:t>separating</w:t>
      </w:r>
      <w:r w:rsidR="004B0231">
        <w:t>;</w:t>
      </w:r>
      <w:proofErr w:type="gramEnd"/>
    </w:p>
    <w:p w14:paraId="66B2CAFA" w14:textId="46C965CA" w:rsidR="00227A67" w:rsidRDefault="00ED40B6" w:rsidP="009354E9">
      <w:pPr>
        <w:pStyle w:val="ListParagraph"/>
        <w:numPr>
          <w:ilvl w:val="0"/>
          <w:numId w:val="14"/>
        </w:numPr>
        <w:jc w:val="both"/>
      </w:pPr>
      <w:r>
        <w:t xml:space="preserve">Fire suppression </w:t>
      </w:r>
      <w:proofErr w:type="gramStart"/>
      <w:r>
        <w:t>skid</w:t>
      </w:r>
      <w:r w:rsidR="004B0231">
        <w:t>;</w:t>
      </w:r>
      <w:proofErr w:type="gramEnd"/>
      <w:r>
        <w:t xml:space="preserve"> </w:t>
      </w:r>
    </w:p>
    <w:p w14:paraId="6710CD6A" w14:textId="538CA7F7" w:rsidR="00227A67" w:rsidRDefault="00ED40B6" w:rsidP="009354E9">
      <w:pPr>
        <w:pStyle w:val="ListParagraph"/>
        <w:numPr>
          <w:ilvl w:val="0"/>
          <w:numId w:val="14"/>
        </w:numPr>
        <w:jc w:val="both"/>
      </w:pPr>
      <w:r>
        <w:t>Aqueous ammonia tank (2.5m diameter x 5m length</w:t>
      </w:r>
      <w:proofErr w:type="gramStart"/>
      <w:r>
        <w:t>)</w:t>
      </w:r>
      <w:r w:rsidR="004B0231">
        <w:t>;</w:t>
      </w:r>
      <w:proofErr w:type="gramEnd"/>
    </w:p>
    <w:p w14:paraId="2A032B99" w14:textId="130476F1" w:rsidR="00227A67" w:rsidRDefault="00ED40B6" w:rsidP="009354E9">
      <w:pPr>
        <w:pStyle w:val="ListParagraph"/>
        <w:numPr>
          <w:ilvl w:val="0"/>
          <w:numId w:val="14"/>
        </w:numPr>
        <w:jc w:val="both"/>
      </w:pPr>
      <w:r>
        <w:t>Propane gas tank and compound (2m diameter x 4.6m length</w:t>
      </w:r>
      <w:proofErr w:type="gramStart"/>
      <w:r>
        <w:t>)</w:t>
      </w:r>
      <w:r w:rsidR="004B0231">
        <w:t>;</w:t>
      </w:r>
      <w:proofErr w:type="gramEnd"/>
    </w:p>
    <w:p w14:paraId="47CAD201" w14:textId="0CE4D9D3" w:rsidR="00227A67" w:rsidRDefault="00ED40B6" w:rsidP="009354E9">
      <w:pPr>
        <w:pStyle w:val="ListParagraph"/>
        <w:numPr>
          <w:ilvl w:val="0"/>
          <w:numId w:val="14"/>
        </w:numPr>
        <w:jc w:val="both"/>
      </w:pPr>
      <w:r>
        <w:t>Demineralised water treatment plant (15m x 30m x 12m high</w:t>
      </w:r>
      <w:proofErr w:type="gramStart"/>
      <w:r>
        <w:t>)</w:t>
      </w:r>
      <w:r w:rsidR="004B0231">
        <w:t>;</w:t>
      </w:r>
      <w:proofErr w:type="gramEnd"/>
    </w:p>
    <w:p w14:paraId="288082C2" w14:textId="67CCD534" w:rsidR="00227A67" w:rsidRDefault="00ED40B6" w:rsidP="009354E9">
      <w:pPr>
        <w:pStyle w:val="ListParagraph"/>
        <w:numPr>
          <w:ilvl w:val="0"/>
          <w:numId w:val="14"/>
        </w:numPr>
        <w:jc w:val="both"/>
      </w:pPr>
      <w:r>
        <w:t>Demineralised water tanks (23m diameter x 18m high) (2 No. x 7,500m3 capacity</w:t>
      </w:r>
      <w:proofErr w:type="gramStart"/>
      <w:r>
        <w:t>)</w:t>
      </w:r>
      <w:r w:rsidR="004B0231">
        <w:t>;</w:t>
      </w:r>
      <w:proofErr w:type="gramEnd"/>
    </w:p>
    <w:p w14:paraId="308780F3" w14:textId="296A6233" w:rsidR="005F0B5A" w:rsidRDefault="00ED40B6" w:rsidP="009354E9">
      <w:pPr>
        <w:pStyle w:val="ListParagraph"/>
        <w:numPr>
          <w:ilvl w:val="0"/>
          <w:numId w:val="14"/>
        </w:numPr>
        <w:jc w:val="both"/>
      </w:pPr>
      <w:r>
        <w:t>Raw water and fire storage water tank (21m diameter x 17 high) (5,900m3 capacity</w:t>
      </w:r>
      <w:proofErr w:type="gramStart"/>
      <w:r>
        <w:t>)</w:t>
      </w:r>
      <w:r w:rsidR="004B0231">
        <w:t>;</w:t>
      </w:r>
      <w:proofErr w:type="gramEnd"/>
      <w:r>
        <w:t xml:space="preserve"> </w:t>
      </w:r>
    </w:p>
    <w:p w14:paraId="751FA197" w14:textId="02FD1609" w:rsidR="003E2318" w:rsidRDefault="00ED40B6" w:rsidP="009354E9">
      <w:pPr>
        <w:pStyle w:val="ListParagraph"/>
        <w:numPr>
          <w:ilvl w:val="0"/>
          <w:numId w:val="14"/>
        </w:numPr>
        <w:jc w:val="both"/>
      </w:pPr>
      <w:r>
        <w:t>Fire water module (10m x 10m x 8m high</w:t>
      </w:r>
      <w:proofErr w:type="gramStart"/>
      <w:r>
        <w:t>)</w:t>
      </w:r>
      <w:r w:rsidR="004B0231">
        <w:t>;</w:t>
      </w:r>
      <w:proofErr w:type="gramEnd"/>
    </w:p>
    <w:p w14:paraId="357CAD5F" w14:textId="02FD601E" w:rsidR="003E2318" w:rsidRDefault="00ED40B6" w:rsidP="009354E9">
      <w:pPr>
        <w:pStyle w:val="ListParagraph"/>
        <w:numPr>
          <w:ilvl w:val="0"/>
          <w:numId w:val="14"/>
        </w:numPr>
        <w:jc w:val="both"/>
      </w:pPr>
      <w:r>
        <w:t xml:space="preserve">HVO fuel storage tanks 3 No. tanks in total, 1 x 1500m3 capacity (14m diameter by 10m high) and 2 x 4,400m3 capacity (20m diameter x 14m high) with two unloading </w:t>
      </w:r>
      <w:proofErr w:type="gramStart"/>
      <w:r>
        <w:t>bays</w:t>
      </w:r>
      <w:r w:rsidR="004B0231">
        <w:t>;</w:t>
      </w:r>
      <w:proofErr w:type="gramEnd"/>
    </w:p>
    <w:p w14:paraId="16B84289" w14:textId="4D5D10A6" w:rsidR="003E2318" w:rsidRDefault="00ED40B6" w:rsidP="009354E9">
      <w:pPr>
        <w:pStyle w:val="ListParagraph"/>
        <w:numPr>
          <w:ilvl w:val="0"/>
          <w:numId w:val="14"/>
        </w:numPr>
        <w:jc w:val="both"/>
      </w:pPr>
      <w:r>
        <w:t>Fuel polishing and transfer system building (20m x 15m x 8m high).</w:t>
      </w:r>
      <w:r w:rsidR="00227A67" w:rsidRPr="00227A67">
        <w:t xml:space="preserve"> </w:t>
      </w:r>
      <w:r w:rsidR="00227A67">
        <w:t xml:space="preserve">HVO pipework (approximately 200m) underground in </w:t>
      </w:r>
      <w:proofErr w:type="gramStart"/>
      <w:r w:rsidR="00227A67">
        <w:t>culverts</w:t>
      </w:r>
      <w:r w:rsidR="004B0231">
        <w:t>;</w:t>
      </w:r>
      <w:proofErr w:type="gramEnd"/>
      <w:r w:rsidR="00227A67">
        <w:t xml:space="preserve"> </w:t>
      </w:r>
    </w:p>
    <w:p w14:paraId="020E668A" w14:textId="6C10DB1B" w:rsidR="003E2318" w:rsidRDefault="00227A67" w:rsidP="009354E9">
      <w:pPr>
        <w:pStyle w:val="ListParagraph"/>
        <w:numPr>
          <w:ilvl w:val="0"/>
          <w:numId w:val="14"/>
        </w:numPr>
        <w:jc w:val="both"/>
      </w:pPr>
      <w:r>
        <w:lastRenderedPageBreak/>
        <w:t>Electrical connections from main transformer (unit) to an existing 220Kv substation (75m overhead cables</w:t>
      </w:r>
      <w:proofErr w:type="gramStart"/>
      <w:r>
        <w:t>)</w:t>
      </w:r>
      <w:r w:rsidR="004B0231">
        <w:t>;</w:t>
      </w:r>
      <w:proofErr w:type="gramEnd"/>
    </w:p>
    <w:p w14:paraId="402A492B" w14:textId="48BFB638" w:rsidR="003E2318" w:rsidRDefault="00227A67" w:rsidP="009354E9">
      <w:pPr>
        <w:pStyle w:val="ListParagraph"/>
        <w:numPr>
          <w:ilvl w:val="0"/>
          <w:numId w:val="14"/>
        </w:numPr>
        <w:jc w:val="both"/>
      </w:pPr>
      <w:r>
        <w:t>New wastewater treatment plant (underground</w:t>
      </w:r>
      <w:proofErr w:type="gramStart"/>
      <w:r>
        <w:t>)</w:t>
      </w:r>
      <w:r w:rsidR="004B0231">
        <w:t>;</w:t>
      </w:r>
      <w:proofErr w:type="gramEnd"/>
    </w:p>
    <w:p w14:paraId="229F5115" w14:textId="7B472560" w:rsidR="003E2318" w:rsidRDefault="00227A67" w:rsidP="009354E9">
      <w:pPr>
        <w:pStyle w:val="ListParagraph"/>
        <w:numPr>
          <w:ilvl w:val="0"/>
          <w:numId w:val="14"/>
        </w:numPr>
        <w:jc w:val="both"/>
      </w:pPr>
      <w:r>
        <w:t>Administration building and workshop (40m x 13m x 5m high</w:t>
      </w:r>
      <w:proofErr w:type="gramStart"/>
      <w:r>
        <w:t>)</w:t>
      </w:r>
      <w:r w:rsidR="004B0231">
        <w:t>;</w:t>
      </w:r>
      <w:proofErr w:type="gramEnd"/>
    </w:p>
    <w:p w14:paraId="0BEB71EF" w14:textId="2EBD7E50" w:rsidR="003E2318" w:rsidRDefault="00227A67" w:rsidP="009354E9">
      <w:pPr>
        <w:pStyle w:val="ListParagraph"/>
        <w:numPr>
          <w:ilvl w:val="0"/>
          <w:numId w:val="14"/>
        </w:numPr>
        <w:jc w:val="both"/>
      </w:pPr>
      <w:r>
        <w:t>Stores (25 x 12.5m x 10m high</w:t>
      </w:r>
      <w:proofErr w:type="gramStart"/>
      <w:r>
        <w:t>)</w:t>
      </w:r>
      <w:r w:rsidR="004B0231">
        <w:t>;</w:t>
      </w:r>
      <w:proofErr w:type="gramEnd"/>
    </w:p>
    <w:p w14:paraId="2DAA1C5C" w14:textId="472A9867" w:rsidR="003E2318" w:rsidRDefault="00227A67" w:rsidP="009354E9">
      <w:pPr>
        <w:pStyle w:val="ListParagraph"/>
        <w:numPr>
          <w:ilvl w:val="0"/>
          <w:numId w:val="14"/>
        </w:numPr>
        <w:jc w:val="both"/>
      </w:pPr>
      <w:r>
        <w:t>Carparking (eight x spaces to the front of the administration and workshop building totalling 100m2</w:t>
      </w:r>
      <w:proofErr w:type="gramStart"/>
      <w:r>
        <w:t>)</w:t>
      </w:r>
      <w:r w:rsidR="004B0231">
        <w:t>;</w:t>
      </w:r>
      <w:proofErr w:type="gramEnd"/>
    </w:p>
    <w:p w14:paraId="1EECA33A" w14:textId="38C25172" w:rsidR="003E67A1" w:rsidRDefault="00227A67" w:rsidP="009354E9">
      <w:pPr>
        <w:pStyle w:val="ListParagraph"/>
        <w:numPr>
          <w:ilvl w:val="0"/>
          <w:numId w:val="14"/>
        </w:numPr>
        <w:jc w:val="both"/>
      </w:pPr>
      <w:r>
        <w:t xml:space="preserve">Flood defence wall and gates; and </w:t>
      </w:r>
    </w:p>
    <w:p w14:paraId="038E6E63" w14:textId="67AE5D17" w:rsidR="00C85DDC" w:rsidRPr="00D67C80" w:rsidRDefault="00227A67" w:rsidP="009354E9">
      <w:pPr>
        <w:pStyle w:val="ListParagraph"/>
        <w:numPr>
          <w:ilvl w:val="0"/>
          <w:numId w:val="14"/>
        </w:numPr>
        <w:jc w:val="both"/>
      </w:pPr>
      <w:r>
        <w:t>Demolition works (removal of existing buildings</w:t>
      </w:r>
      <w:r w:rsidR="00886191">
        <w:t>/structures</w:t>
      </w:r>
      <w:r w:rsidR="004F27C9">
        <w:t xml:space="preserve"> </w:t>
      </w:r>
      <w:r w:rsidR="00886191">
        <w:t>including Carpenters workshop (1200sqm), Contractor/Canteen building (3300sqm), Boiler wash open top storage tank (5,500sqm, Lube oil store (2,800sqm, Site toilets (33sqm), Mechanical workshop, Wastewater treatment plant (9,500sqm)</w:t>
      </w:r>
      <w:r>
        <w:t>).</w:t>
      </w:r>
    </w:p>
    <w:p w14:paraId="2D34C019" w14:textId="77777777" w:rsidR="00F577AB" w:rsidRDefault="00D319A4" w:rsidP="00F577AB">
      <w:pPr>
        <w:pStyle w:val="BBody1"/>
        <w:numPr>
          <w:ilvl w:val="0"/>
          <w:numId w:val="0"/>
        </w:numPr>
        <w:jc w:val="both"/>
      </w:pPr>
      <w:r w:rsidRPr="00D319A4">
        <w:t>The application relates to development for the purposes of an activity requiring a licence form the Environmental Protection Agency (EPA) under the Industrial Emissions Directive.</w:t>
      </w:r>
      <w:r w:rsidR="00064536">
        <w:t xml:space="preserve">  </w:t>
      </w:r>
    </w:p>
    <w:p w14:paraId="0010E089" w14:textId="77777777" w:rsidR="00860942" w:rsidRDefault="00F577AB" w:rsidP="00F577AB">
      <w:pPr>
        <w:pStyle w:val="BBody1"/>
        <w:numPr>
          <w:ilvl w:val="0"/>
          <w:numId w:val="0"/>
        </w:numPr>
        <w:jc w:val="both"/>
      </w:pPr>
      <w:r w:rsidRPr="00C86637">
        <w:t>The Tarbert HFO Power Station is registered under “the COMAH Regulations 2015” as an “Upper Tier” establishment.  The Proposed Development plans to store volumes of Hydrotreated Vegetable Oil (HVO) in a quantity which is above the ‘Lower Tier’ COMAH threshold</w:t>
      </w:r>
      <w:r w:rsidR="00E95DCC">
        <w:t>.</w:t>
      </w:r>
      <w:r w:rsidR="005C4723">
        <w:t xml:space="preserve">  </w:t>
      </w:r>
      <w:r w:rsidRPr="00C86637">
        <w:t>In combination with other storage on the SSE Tarbert site this may cross the threshold for an ‘Upper Tier’ COMAH site overall</w:t>
      </w:r>
      <w:r w:rsidR="00E95DCC">
        <w:t xml:space="preserve">.  </w:t>
      </w:r>
    </w:p>
    <w:p w14:paraId="262E2346" w14:textId="705902F9" w:rsidR="00B86A59" w:rsidRDefault="00860942" w:rsidP="00860942">
      <w:pPr>
        <w:pStyle w:val="BBody1"/>
        <w:numPr>
          <w:ilvl w:val="0"/>
          <w:numId w:val="0"/>
        </w:numPr>
        <w:jc w:val="both"/>
      </w:pPr>
      <w:r>
        <w:t>The</w:t>
      </w:r>
      <w:r w:rsidR="00E95DCC" w:rsidRPr="00E95DCC">
        <w:t xml:space="preserve"> Chemicals Act (Control of Major Accident Hazards Involving Dangerous Substances) Regulations 2015</w:t>
      </w:r>
      <w:r w:rsidR="00E95DCC">
        <w:t xml:space="preserve">, Schedule 1 outlines the thresholds </w:t>
      </w:r>
      <w:r w:rsidR="00FD3021">
        <w:t>for Lower and Upper Tier COMAH sites</w:t>
      </w:r>
      <w:r>
        <w:t xml:space="preserve">.  </w:t>
      </w:r>
      <w:r w:rsidRPr="00860942">
        <w:t>The regulations apply to companies where dangerous substances are present in quantities equal to or above specified thresholds.</w:t>
      </w:r>
      <w:r>
        <w:t xml:space="preserve">  There are two thresholds for ‘alternative fuel’, a lower one of 2,500 tonnes (Lower Tier Sites) and a higher one of 25,000 tonnes (Upper Tier Sites).</w:t>
      </w:r>
      <w:r w:rsidR="00B86A59">
        <w:t xml:space="preserve">  </w:t>
      </w:r>
    </w:p>
    <w:p w14:paraId="7BF77C66" w14:textId="2052DE7D" w:rsidR="0078204F" w:rsidRDefault="0078204F" w:rsidP="00B86A59">
      <w:pPr>
        <w:pStyle w:val="Heading2"/>
      </w:pPr>
      <w:r>
        <w:t>EIA Screening</w:t>
      </w:r>
    </w:p>
    <w:p w14:paraId="15AE3537" w14:textId="299F4063" w:rsidR="000A7E25" w:rsidRDefault="000A7E25" w:rsidP="000A7E25">
      <w:pPr>
        <w:pStyle w:val="CBody2"/>
        <w:numPr>
          <w:ilvl w:val="0"/>
          <w:numId w:val="0"/>
        </w:numPr>
        <w:jc w:val="both"/>
      </w:pPr>
      <w:r>
        <w:t>The proposed development falls within the definition of a project under the EIA Directive 2011/92/EU as amended by EIA Directive 2014/52/EU and falls within the scope of Class 2 (a) under Part 1 Schedule 5 of the Planning and Development Regulations 2001 (as amended) ‘</w:t>
      </w:r>
      <w:r w:rsidRPr="004A5036">
        <w:rPr>
          <w:i/>
          <w:iCs/>
        </w:rPr>
        <w:t>a thermal power station or other combustion installation with a heat output of 3</w:t>
      </w:r>
      <w:r w:rsidR="001F4A33">
        <w:rPr>
          <w:i/>
          <w:iCs/>
        </w:rPr>
        <w:t>00</w:t>
      </w:r>
      <w:r w:rsidRPr="004A5036">
        <w:rPr>
          <w:i/>
          <w:iCs/>
        </w:rPr>
        <w:t xml:space="preserve"> megawatts or more’</w:t>
      </w:r>
      <w:r>
        <w:t xml:space="preserve">.  </w:t>
      </w:r>
    </w:p>
    <w:p w14:paraId="5CD4CEF7" w14:textId="63E9A921" w:rsidR="0078204F" w:rsidRPr="00192C29" w:rsidRDefault="000A7E25" w:rsidP="00192C29">
      <w:pPr>
        <w:pStyle w:val="CBody2"/>
        <w:numPr>
          <w:ilvl w:val="0"/>
          <w:numId w:val="0"/>
        </w:numPr>
        <w:jc w:val="both"/>
      </w:pPr>
      <w:r>
        <w:lastRenderedPageBreak/>
        <w:t xml:space="preserve">The maximum power output of the proposed OCGT will be 350MW, which is </w:t>
      </w:r>
      <w:proofErr w:type="gramStart"/>
      <w:r>
        <w:t>in excess of</w:t>
      </w:r>
      <w:proofErr w:type="gramEnd"/>
      <w:r>
        <w:t xml:space="preserve"> the threshold set out under Schedule 5 for a thermal power station.  A mandatory EIA is</w:t>
      </w:r>
      <w:r w:rsidR="004F27C9">
        <w:t xml:space="preserve"> therefore</w:t>
      </w:r>
      <w:r>
        <w:t xml:space="preserve"> required.  An EIAR accompanies the application.</w:t>
      </w:r>
      <w:r w:rsidR="00811967">
        <w:t xml:space="preserve"> (See Form 1 – Appendix 1)</w:t>
      </w:r>
    </w:p>
    <w:p w14:paraId="075E1B8B" w14:textId="77698197" w:rsidR="0078204F" w:rsidRDefault="0078204F" w:rsidP="00092198">
      <w:pPr>
        <w:pStyle w:val="Heading2"/>
      </w:pPr>
      <w:r>
        <w:t>Natural Heritage Designations</w:t>
      </w:r>
    </w:p>
    <w:p w14:paraId="555393FD" w14:textId="3087891F" w:rsidR="002429D1" w:rsidRDefault="002B0F88" w:rsidP="00114A67">
      <w:pPr>
        <w:pStyle w:val="CBody2"/>
        <w:numPr>
          <w:ilvl w:val="0"/>
          <w:numId w:val="0"/>
        </w:numPr>
        <w:jc w:val="both"/>
      </w:pPr>
      <w:r w:rsidRPr="002B0F88">
        <w:rPr>
          <w:rStyle w:val="BBody1Char"/>
        </w:rPr>
        <w:t>There are three European sites within 15km of the Site; River Shannon and River Fergus Estuaries SPA</w:t>
      </w:r>
      <w:r w:rsidR="00ED69B7">
        <w:rPr>
          <w:rStyle w:val="BBody1Char"/>
        </w:rPr>
        <w:t xml:space="preserve"> </w:t>
      </w:r>
      <w:r w:rsidR="00A53B97">
        <w:rPr>
          <w:rStyle w:val="BBody1Char"/>
        </w:rPr>
        <w:t>[</w:t>
      </w:r>
      <w:r w:rsidR="00ED69B7">
        <w:rPr>
          <w:rStyle w:val="BBody1Char"/>
        </w:rPr>
        <w:t>00</w:t>
      </w:r>
      <w:r w:rsidR="00D514D8">
        <w:rPr>
          <w:rStyle w:val="BBody1Char"/>
        </w:rPr>
        <w:t>4077</w:t>
      </w:r>
      <w:r w:rsidR="00331774">
        <w:rPr>
          <w:rStyle w:val="BBody1Char"/>
        </w:rPr>
        <w:t>]</w:t>
      </w:r>
      <w:r w:rsidRPr="002B0F88">
        <w:rPr>
          <w:rStyle w:val="BBody1Char"/>
        </w:rPr>
        <w:t xml:space="preserve"> (Special Protection Area)</w:t>
      </w:r>
      <w:r w:rsidR="002C57A9">
        <w:rPr>
          <w:rStyle w:val="BBody1Char"/>
        </w:rPr>
        <w:t xml:space="preserve"> (0km</w:t>
      </w:r>
      <w:r w:rsidR="00CF255C">
        <w:rPr>
          <w:rStyle w:val="BBody1Char"/>
        </w:rPr>
        <w:t xml:space="preserve"> – SPA within site boundary)</w:t>
      </w:r>
      <w:r w:rsidRPr="002B0F88">
        <w:rPr>
          <w:rStyle w:val="BBody1Char"/>
        </w:rPr>
        <w:t>, Lower River Shannon SAC</w:t>
      </w:r>
      <w:r w:rsidR="00331774">
        <w:rPr>
          <w:rStyle w:val="BBody1Char"/>
        </w:rPr>
        <w:t xml:space="preserve"> [</w:t>
      </w:r>
      <w:r w:rsidR="00B762FA">
        <w:rPr>
          <w:rStyle w:val="BBody1Char"/>
        </w:rPr>
        <w:t>002165]</w:t>
      </w:r>
      <w:r w:rsidRPr="002B0F88">
        <w:rPr>
          <w:rStyle w:val="BBody1Char"/>
        </w:rPr>
        <w:t xml:space="preserve"> (Special Area of Conservation) </w:t>
      </w:r>
      <w:r w:rsidR="00413E3E">
        <w:rPr>
          <w:rStyle w:val="BBody1Char"/>
        </w:rPr>
        <w:t>(</w:t>
      </w:r>
      <w:r w:rsidR="00CF255C">
        <w:rPr>
          <w:rStyle w:val="BBody1Char"/>
        </w:rPr>
        <w:t xml:space="preserve">0km </w:t>
      </w:r>
      <w:r w:rsidR="00413E3E">
        <w:rPr>
          <w:rStyle w:val="BBody1Char"/>
        </w:rPr>
        <w:t>– immediately adjacent to site)</w:t>
      </w:r>
      <w:r w:rsidR="00B762FA">
        <w:rPr>
          <w:rStyle w:val="BBody1Char"/>
        </w:rPr>
        <w:t xml:space="preserve">, </w:t>
      </w:r>
      <w:r w:rsidR="00F93AF5">
        <w:rPr>
          <w:rStyle w:val="BBody1Char"/>
        </w:rPr>
        <w:t>Stacks to Mullaghareirk Mountains</w:t>
      </w:r>
      <w:r w:rsidR="00976AC1">
        <w:rPr>
          <w:rStyle w:val="BBody1Char"/>
        </w:rPr>
        <w:t>,</w:t>
      </w:r>
      <w:r w:rsidR="00C0117E">
        <w:rPr>
          <w:rStyle w:val="BBody1Char"/>
        </w:rPr>
        <w:t xml:space="preserve"> West Limerick Hills and Mount Eagle SPA [004161]</w:t>
      </w:r>
      <w:r w:rsidR="00724D6D">
        <w:rPr>
          <w:rStyle w:val="BBody1Char"/>
        </w:rPr>
        <w:t xml:space="preserve"> (</w:t>
      </w:r>
      <w:r w:rsidR="00956995">
        <w:rPr>
          <w:rStyle w:val="BBody1Char"/>
        </w:rPr>
        <w:t>c. 6.6km south</w:t>
      </w:r>
      <w:r w:rsidR="00B61AED">
        <w:rPr>
          <w:rStyle w:val="BBody1Char"/>
        </w:rPr>
        <w:t>-</w:t>
      </w:r>
      <w:r w:rsidR="00956995">
        <w:rPr>
          <w:rStyle w:val="BBody1Char"/>
        </w:rPr>
        <w:t>east)</w:t>
      </w:r>
      <w:r w:rsidR="00413E3E">
        <w:rPr>
          <w:rStyle w:val="BBody1Char"/>
        </w:rPr>
        <w:t xml:space="preserve"> </w:t>
      </w:r>
      <w:r w:rsidRPr="002B0F88">
        <w:rPr>
          <w:rStyle w:val="BBody1Char"/>
        </w:rPr>
        <w:t>and one proposed Natural Heritage Areas (pNHA); Tarbert Bay</w:t>
      </w:r>
      <w:r w:rsidR="007A3520">
        <w:rPr>
          <w:rStyle w:val="BBody1Char"/>
        </w:rPr>
        <w:t xml:space="preserve"> pNHA</w:t>
      </w:r>
      <w:r w:rsidR="00726297">
        <w:rPr>
          <w:rStyle w:val="BBody1Char"/>
        </w:rPr>
        <w:t xml:space="preserve"> [</w:t>
      </w:r>
      <w:r w:rsidR="00B14EE1">
        <w:rPr>
          <w:rStyle w:val="BBody1Char"/>
        </w:rPr>
        <w:t>001386]</w:t>
      </w:r>
      <w:r w:rsidR="000B0702">
        <w:rPr>
          <w:rStyle w:val="BBody1Char"/>
        </w:rPr>
        <w:t xml:space="preserve"> (</w:t>
      </w:r>
      <w:r w:rsidR="00A546F8">
        <w:rPr>
          <w:rStyle w:val="BBody1Char"/>
        </w:rPr>
        <w:t xml:space="preserve">0km – </w:t>
      </w:r>
      <w:r w:rsidR="000B0702">
        <w:rPr>
          <w:rStyle w:val="BBody1Char"/>
        </w:rPr>
        <w:t>pNHA</w:t>
      </w:r>
      <w:r w:rsidR="00A546F8">
        <w:rPr>
          <w:rStyle w:val="BBody1Char"/>
        </w:rPr>
        <w:t xml:space="preserve"> </w:t>
      </w:r>
      <w:r w:rsidR="00413BFE">
        <w:rPr>
          <w:rStyle w:val="BBody1Char"/>
        </w:rPr>
        <w:t>immediately adjacent to site).</w:t>
      </w:r>
    </w:p>
    <w:p w14:paraId="7811407D" w14:textId="6A346338" w:rsidR="002429D1" w:rsidRDefault="002429D1" w:rsidP="00092198">
      <w:pPr>
        <w:pStyle w:val="Heading2"/>
      </w:pPr>
      <w:r>
        <w:t>Appropriate Assessment (AA) Screening</w:t>
      </w:r>
    </w:p>
    <w:p w14:paraId="5C795187" w14:textId="013A0FA7" w:rsidR="004E5A18" w:rsidRDefault="004E5A18" w:rsidP="00DE52AD">
      <w:pPr>
        <w:pStyle w:val="CBody2"/>
        <w:numPr>
          <w:ilvl w:val="0"/>
          <w:numId w:val="0"/>
        </w:numPr>
        <w:jc w:val="both"/>
      </w:pPr>
      <w:r w:rsidRPr="00F63C10">
        <w:t>An AA Screening</w:t>
      </w:r>
      <w:r w:rsidR="00563784" w:rsidRPr="00F63C10">
        <w:t xml:space="preserve"> </w:t>
      </w:r>
      <w:r w:rsidR="004F27C9">
        <w:t xml:space="preserve">was carried out </w:t>
      </w:r>
      <w:r w:rsidR="00563784" w:rsidRPr="00F63C10">
        <w:t xml:space="preserve">and Natura Impact Statement </w:t>
      </w:r>
      <w:r w:rsidR="004F27C9">
        <w:t>submitted</w:t>
      </w:r>
      <w:r w:rsidRPr="00F63C10">
        <w:t xml:space="preserve"> by the applicant</w:t>
      </w:r>
      <w:r w:rsidR="00F63C10" w:rsidRPr="00F63C10">
        <w:t xml:space="preserve"> in Section 9B of the EIAR.</w:t>
      </w:r>
      <w:r w:rsidR="00203DCF">
        <w:t xml:space="preserve">  The report</w:t>
      </w:r>
      <w:r w:rsidR="007B11F6">
        <w:t xml:space="preserve"> </w:t>
      </w:r>
      <w:r w:rsidR="00A84063">
        <w:t>s</w:t>
      </w:r>
      <w:r w:rsidR="007B11F6">
        <w:t>creened-in five European Sites for Stage 2 Appropriate Assessment</w:t>
      </w:r>
      <w:r w:rsidR="004378E0">
        <w:t>, including River Shannon and River Fergus Estuaries SPA, Lower River Shannon SAC</w:t>
      </w:r>
      <w:r w:rsidR="00DA6454">
        <w:t>,</w:t>
      </w:r>
      <w:r w:rsidR="004378E0">
        <w:t xml:space="preserve"> Blasket Islands SAC, Kilkieran Bay and Islands SAC and Slyne Head Islands SAC</w:t>
      </w:r>
      <w:r w:rsidR="007B11F6">
        <w:t>.</w:t>
      </w:r>
    </w:p>
    <w:p w14:paraId="5AE8326C" w14:textId="77777777" w:rsidR="002B7381" w:rsidRDefault="00DE52AD" w:rsidP="00DE52AD">
      <w:pPr>
        <w:pStyle w:val="CBody2"/>
        <w:numPr>
          <w:ilvl w:val="0"/>
          <w:numId w:val="0"/>
        </w:numPr>
        <w:jc w:val="both"/>
      </w:pPr>
      <w:r>
        <w:t>It concluded</w:t>
      </w:r>
      <w:r w:rsidR="002B7381">
        <w:t xml:space="preserve"> as </w:t>
      </w:r>
      <w:proofErr w:type="gramStart"/>
      <w:r w:rsidR="002B7381">
        <w:t>follows;</w:t>
      </w:r>
      <w:proofErr w:type="gramEnd"/>
    </w:p>
    <w:p w14:paraId="2791D148" w14:textId="61777AE0" w:rsidR="007D1DC0" w:rsidRDefault="002B7381" w:rsidP="002B7381">
      <w:pPr>
        <w:pStyle w:val="CBody2"/>
        <w:numPr>
          <w:ilvl w:val="0"/>
          <w:numId w:val="0"/>
        </w:numPr>
        <w:ind w:left="720"/>
        <w:jc w:val="both"/>
        <w:rPr>
          <w:i/>
          <w:iCs/>
        </w:rPr>
      </w:pPr>
      <w:r w:rsidRPr="002B7381">
        <w:rPr>
          <w:i/>
          <w:iCs/>
        </w:rPr>
        <w:t xml:space="preserve">‘Noise and visual disturbance to SCI bird species of River Shannon and River Fergus Estuaries SPA and QI Annex II species of Lower River Shannon SAC, Blasket Islands SAC, Kilkieran Bay and Islands SAC, and Slyne Head SAC were identified within the Screening as potential impacts causing likely significant effects on these European sites. </w:t>
      </w:r>
      <w:r w:rsidR="00397B63">
        <w:rPr>
          <w:i/>
          <w:iCs/>
        </w:rPr>
        <w:t xml:space="preserve"> </w:t>
      </w:r>
      <w:r w:rsidRPr="002B7381">
        <w:rPr>
          <w:i/>
          <w:iCs/>
        </w:rPr>
        <w:t xml:space="preserve">However, following assessment of the Proposed Development considering the impact pathways between construction works and QI / SCI, no significant effects are considered likely, and thus no specific mitigation measures to protect European sites is considered necessary. General mitigation measures employed as industry standard best practice have been outlined. There will be no direct or indirect impacts of the </w:t>
      </w:r>
      <w:r w:rsidRPr="002B7381">
        <w:rPr>
          <w:i/>
          <w:iCs/>
        </w:rPr>
        <w:lastRenderedPageBreak/>
        <w:t xml:space="preserve">project on European sites, or their mobile selection features, due to the following: </w:t>
      </w:r>
    </w:p>
    <w:p w14:paraId="23730AF1" w14:textId="779E0185" w:rsidR="007D1DC0" w:rsidRPr="00E07079" w:rsidRDefault="002B7381" w:rsidP="009354E9">
      <w:pPr>
        <w:pStyle w:val="ListParagraph"/>
        <w:numPr>
          <w:ilvl w:val="0"/>
          <w:numId w:val="20"/>
        </w:numPr>
        <w:rPr>
          <w:i/>
          <w:iCs/>
        </w:rPr>
      </w:pPr>
      <w:r w:rsidRPr="00E07079">
        <w:rPr>
          <w:i/>
          <w:iCs/>
        </w:rPr>
        <w:t xml:space="preserve">The impacts from the construction of the Proposed Development will be of a temporary nature, and on a small scale in comparison with the size of the European sites. </w:t>
      </w:r>
    </w:p>
    <w:p w14:paraId="21540D9E" w14:textId="4B925D26" w:rsidR="00FE4D4D" w:rsidRPr="00E07079" w:rsidRDefault="002B7381" w:rsidP="009354E9">
      <w:pPr>
        <w:pStyle w:val="ListParagraph"/>
        <w:numPr>
          <w:ilvl w:val="0"/>
          <w:numId w:val="20"/>
        </w:numPr>
        <w:rPr>
          <w:i/>
          <w:iCs/>
        </w:rPr>
      </w:pPr>
      <w:r w:rsidRPr="00E07079">
        <w:rPr>
          <w:i/>
          <w:iCs/>
        </w:rPr>
        <w:t xml:space="preserve">No resources will be required from within the European sites. </w:t>
      </w:r>
    </w:p>
    <w:p w14:paraId="0D49C5FF" w14:textId="6EA856AD" w:rsidR="00FE4D4D" w:rsidRPr="00E07079" w:rsidRDefault="002B7381" w:rsidP="009354E9">
      <w:pPr>
        <w:pStyle w:val="ListParagraph"/>
        <w:numPr>
          <w:ilvl w:val="0"/>
          <w:numId w:val="20"/>
        </w:numPr>
        <w:rPr>
          <w:i/>
          <w:iCs/>
        </w:rPr>
      </w:pPr>
      <w:r w:rsidRPr="00E07079">
        <w:rPr>
          <w:i/>
          <w:iCs/>
        </w:rPr>
        <w:t xml:space="preserve">No excavation of resources will be required from the European sites. Transportation of materials will be delivered to the site on the normal road network. </w:t>
      </w:r>
    </w:p>
    <w:p w14:paraId="1A5773EF" w14:textId="450C8B53" w:rsidR="002B7381" w:rsidRPr="00E07079" w:rsidRDefault="002B7381" w:rsidP="009354E9">
      <w:pPr>
        <w:pStyle w:val="ListParagraph"/>
        <w:numPr>
          <w:ilvl w:val="0"/>
          <w:numId w:val="20"/>
        </w:numPr>
        <w:rPr>
          <w:i/>
          <w:iCs/>
        </w:rPr>
      </w:pPr>
      <w:r w:rsidRPr="00E07079">
        <w:rPr>
          <w:i/>
          <w:iCs/>
        </w:rPr>
        <w:t xml:space="preserve">Any emissions from construction will be managed through mitigation. </w:t>
      </w:r>
    </w:p>
    <w:p w14:paraId="6F796171" w14:textId="33998048" w:rsidR="00566EB3" w:rsidRDefault="00566EB3" w:rsidP="002B7381">
      <w:pPr>
        <w:pStyle w:val="CBody2"/>
        <w:numPr>
          <w:ilvl w:val="0"/>
          <w:numId w:val="0"/>
        </w:numPr>
        <w:ind w:left="720"/>
        <w:jc w:val="both"/>
        <w:rPr>
          <w:i/>
          <w:iCs/>
        </w:rPr>
      </w:pPr>
      <w:r w:rsidRPr="00566EB3">
        <w:rPr>
          <w:i/>
          <w:iCs/>
        </w:rPr>
        <w:t>Provided the general mitigation measures are implemented, it is considered that the Proposed Development will have no adverse effects on the integrity of any European site, either alone or in</w:t>
      </w:r>
      <w:r w:rsidR="00880460">
        <w:rPr>
          <w:i/>
          <w:iCs/>
        </w:rPr>
        <w:t>-</w:t>
      </w:r>
      <w:r w:rsidRPr="00566EB3">
        <w:rPr>
          <w:i/>
          <w:iCs/>
        </w:rPr>
        <w:t>combination with other plans or projects.</w:t>
      </w:r>
      <w:r w:rsidR="00AE57FA">
        <w:rPr>
          <w:i/>
          <w:iCs/>
        </w:rPr>
        <w:t>’</w:t>
      </w:r>
    </w:p>
    <w:p w14:paraId="7403819C" w14:textId="11B54E75" w:rsidR="00021264" w:rsidRPr="00021264" w:rsidRDefault="00021264" w:rsidP="00021264">
      <w:pPr>
        <w:pStyle w:val="CBody2"/>
        <w:numPr>
          <w:ilvl w:val="0"/>
          <w:numId w:val="0"/>
        </w:numPr>
        <w:jc w:val="both"/>
      </w:pPr>
      <w:r>
        <w:t>Mr Eoin Kelleher, Ecologist, Kerry County Council</w:t>
      </w:r>
      <w:r w:rsidR="00501324">
        <w:t xml:space="preserve"> provided a report which indicates that subject to implementation of appropriate water quality protection and flood risk management </w:t>
      </w:r>
      <w:r w:rsidR="00107861">
        <w:t>protection</w:t>
      </w:r>
      <w:r w:rsidR="00501324">
        <w:t xml:space="preserve"> measures, there will be no adverse effect on any European Site during the construction</w:t>
      </w:r>
      <w:r w:rsidR="00107861">
        <w:t>, operation or decommissioned of the Proposed Development.</w:t>
      </w:r>
    </w:p>
    <w:p w14:paraId="077D6B41" w14:textId="036F4A83" w:rsidR="00CD05E9" w:rsidRPr="00C65350" w:rsidRDefault="00CD05E9" w:rsidP="00CD05E9">
      <w:pPr>
        <w:pStyle w:val="BBody1"/>
        <w:numPr>
          <w:ilvl w:val="0"/>
          <w:numId w:val="0"/>
        </w:numPr>
        <w:jc w:val="both"/>
        <w:rPr>
          <w:b/>
        </w:rPr>
      </w:pPr>
      <w:bookmarkStart w:id="4" w:name="_Toc157634103"/>
      <w:bookmarkStart w:id="5" w:name="_Toc158156156"/>
      <w:bookmarkStart w:id="6" w:name="_Toc158202913"/>
      <w:r w:rsidRPr="00852F37">
        <w:t>An AA Screening and Natura Impact Statement is presented in Appendix 2 and Section 21 of this report.</w:t>
      </w:r>
    </w:p>
    <w:p w14:paraId="4A67C1FE" w14:textId="44BF4158" w:rsidR="00460C9C" w:rsidRDefault="00460C9C" w:rsidP="00F938E5">
      <w:pPr>
        <w:pStyle w:val="EHead1"/>
        <w:jc w:val="both"/>
      </w:pPr>
      <w:bookmarkStart w:id="7" w:name="_Toc171346781"/>
      <w:r w:rsidRPr="004B5C94">
        <w:t>Policy Context</w:t>
      </w:r>
      <w:bookmarkEnd w:id="4"/>
      <w:bookmarkEnd w:id="5"/>
      <w:bookmarkEnd w:id="6"/>
      <w:bookmarkEnd w:id="7"/>
    </w:p>
    <w:p w14:paraId="098A083D" w14:textId="01B71AB1" w:rsidR="00460C9C" w:rsidRDefault="00460C9C" w:rsidP="00F938E5">
      <w:pPr>
        <w:pStyle w:val="CBody2"/>
        <w:numPr>
          <w:ilvl w:val="0"/>
          <w:numId w:val="0"/>
        </w:numPr>
        <w:jc w:val="both"/>
      </w:pPr>
      <w:r>
        <w:t xml:space="preserve">Regard is had to the following </w:t>
      </w:r>
      <w:r w:rsidR="00885E5E">
        <w:t>Local</w:t>
      </w:r>
      <w:r>
        <w:t>,</w:t>
      </w:r>
      <w:r w:rsidR="00885E5E">
        <w:t xml:space="preserve"> Regional,</w:t>
      </w:r>
      <w:r>
        <w:t xml:space="preserve"> European, National and Other Relevant Policy documents:</w:t>
      </w:r>
    </w:p>
    <w:p w14:paraId="0F6AD345" w14:textId="1C868FBC" w:rsidR="00460C9C" w:rsidRPr="003C0A6E" w:rsidRDefault="00DE42ED" w:rsidP="003C0A6E">
      <w:pPr>
        <w:pStyle w:val="BBody1"/>
        <w:numPr>
          <w:ilvl w:val="0"/>
          <w:numId w:val="0"/>
        </w:numPr>
        <w:rPr>
          <w:b/>
          <w:bCs/>
          <w:u w:val="single"/>
        </w:rPr>
      </w:pPr>
      <w:r w:rsidRPr="003C0A6E">
        <w:rPr>
          <w:b/>
          <w:bCs/>
          <w:u w:val="single"/>
        </w:rPr>
        <w:t>Local</w:t>
      </w:r>
      <w:r w:rsidR="00460C9C" w:rsidRPr="003C0A6E">
        <w:rPr>
          <w:b/>
          <w:bCs/>
          <w:u w:val="single"/>
        </w:rPr>
        <w:t xml:space="preserve"> </w:t>
      </w:r>
      <w:r w:rsidR="003A7DBE" w:rsidRPr="003C0A6E">
        <w:rPr>
          <w:b/>
          <w:bCs/>
          <w:u w:val="single"/>
        </w:rPr>
        <w:t xml:space="preserve">and Regional </w:t>
      </w:r>
      <w:r w:rsidR="00460C9C" w:rsidRPr="003C0A6E">
        <w:rPr>
          <w:b/>
          <w:bCs/>
          <w:u w:val="single"/>
        </w:rPr>
        <w:t>Policy</w:t>
      </w:r>
    </w:p>
    <w:p w14:paraId="47C60EE5" w14:textId="77777777" w:rsidR="00601997" w:rsidRPr="00A96BB6" w:rsidRDefault="008D14E2" w:rsidP="009354E9">
      <w:pPr>
        <w:pStyle w:val="ListParagraph"/>
        <w:numPr>
          <w:ilvl w:val="0"/>
          <w:numId w:val="23"/>
        </w:numPr>
        <w:ind w:left="720" w:hanging="270"/>
      </w:pPr>
      <w:r w:rsidRPr="00A96BB6">
        <w:t>Strategic Integrated Framework Plan for the Shannon Estuary (SIFP)</w:t>
      </w:r>
    </w:p>
    <w:p w14:paraId="6206860B" w14:textId="1D307835" w:rsidR="00601997" w:rsidRPr="00CD05E9" w:rsidRDefault="00601997" w:rsidP="009354E9">
      <w:pPr>
        <w:pStyle w:val="ListParagraph"/>
        <w:numPr>
          <w:ilvl w:val="0"/>
          <w:numId w:val="23"/>
        </w:numPr>
        <w:ind w:left="720" w:hanging="270"/>
      </w:pPr>
      <w:r w:rsidRPr="00CD05E9">
        <w:t>Regional Spatial &amp; Economic Strategy for the Southern Region</w:t>
      </w:r>
      <w:r w:rsidR="00366603" w:rsidRPr="00CD05E9">
        <w:t xml:space="preserve"> 2020</w:t>
      </w:r>
    </w:p>
    <w:p w14:paraId="2F7A7A2F" w14:textId="77777777" w:rsidR="00A96BB6" w:rsidRDefault="00E4434F" w:rsidP="009354E9">
      <w:pPr>
        <w:pStyle w:val="ListParagraph"/>
        <w:numPr>
          <w:ilvl w:val="0"/>
          <w:numId w:val="23"/>
        </w:numPr>
        <w:ind w:left="720" w:hanging="270"/>
      </w:pPr>
      <w:r w:rsidRPr="00CD05E9">
        <w:t xml:space="preserve">Kerry </w:t>
      </w:r>
      <w:r w:rsidR="00460C9C" w:rsidRPr="00CD05E9">
        <w:t>County Development Plan 2022 – 2028</w:t>
      </w:r>
      <w:r w:rsidR="00C65350" w:rsidRPr="00CD05E9">
        <w:t xml:space="preserve"> (KCDP</w:t>
      </w:r>
      <w:r w:rsidR="00735FA5" w:rsidRPr="00CD05E9">
        <w:t>)</w:t>
      </w:r>
    </w:p>
    <w:p w14:paraId="3E60183F" w14:textId="0B9667EF" w:rsidR="009B5530" w:rsidRPr="00CD05E9" w:rsidRDefault="009B5530" w:rsidP="009B5530">
      <w:pPr>
        <w:pStyle w:val="ListParagraph"/>
        <w:numPr>
          <w:ilvl w:val="0"/>
          <w:numId w:val="23"/>
        </w:numPr>
        <w:ind w:left="720" w:hanging="270"/>
      </w:pPr>
      <w:r w:rsidRPr="00A96BB6">
        <w:t xml:space="preserve">Listowel Municipal District Local Area Plan 2020 – 2026 </w:t>
      </w:r>
    </w:p>
    <w:p w14:paraId="58D21EB8" w14:textId="16DA2A8F" w:rsidR="00296D4A" w:rsidRPr="00CD05E9" w:rsidRDefault="00296D4A" w:rsidP="009354E9">
      <w:pPr>
        <w:pStyle w:val="ListParagraph"/>
        <w:numPr>
          <w:ilvl w:val="0"/>
          <w:numId w:val="23"/>
        </w:numPr>
        <w:ind w:left="720" w:hanging="270"/>
      </w:pPr>
      <w:r w:rsidRPr="00CD05E9">
        <w:t>Kerry County Council Climate Change Adaptation Strategy 2019-2024</w:t>
      </w:r>
    </w:p>
    <w:p w14:paraId="45CDBA35" w14:textId="77777777" w:rsidR="00460C9C" w:rsidRPr="003C0A6E" w:rsidRDefault="00460C9C" w:rsidP="003C0A6E">
      <w:pPr>
        <w:pStyle w:val="BBody1"/>
        <w:numPr>
          <w:ilvl w:val="0"/>
          <w:numId w:val="0"/>
        </w:numPr>
        <w:rPr>
          <w:b/>
          <w:bCs/>
          <w:u w:val="single"/>
        </w:rPr>
      </w:pPr>
      <w:r w:rsidRPr="003C0A6E">
        <w:rPr>
          <w:b/>
          <w:bCs/>
          <w:u w:val="single"/>
        </w:rPr>
        <w:t>European Policy</w:t>
      </w:r>
    </w:p>
    <w:p w14:paraId="006D66EA" w14:textId="77777777" w:rsidR="00460C9C" w:rsidRPr="0057722D" w:rsidRDefault="00460C9C" w:rsidP="009354E9">
      <w:pPr>
        <w:pStyle w:val="ListParagraph"/>
        <w:numPr>
          <w:ilvl w:val="0"/>
          <w:numId w:val="8"/>
        </w:numPr>
        <w:jc w:val="both"/>
      </w:pPr>
      <w:r w:rsidRPr="0057722D">
        <w:t xml:space="preserve">RED III (European Renewable Energy </w:t>
      </w:r>
      <w:r w:rsidRPr="004F53E7">
        <w:t>Directive (EU/2023/2413))</w:t>
      </w:r>
    </w:p>
    <w:p w14:paraId="0011C274" w14:textId="77777777" w:rsidR="00460C9C" w:rsidRDefault="00460C9C" w:rsidP="009354E9">
      <w:pPr>
        <w:pStyle w:val="ListParagraph"/>
        <w:numPr>
          <w:ilvl w:val="0"/>
          <w:numId w:val="8"/>
        </w:numPr>
        <w:jc w:val="both"/>
      </w:pPr>
      <w:r w:rsidRPr="00D51CE3">
        <w:t xml:space="preserve">REPowerEU Plan 2022 and Directive EU 2018/2001, as amended </w:t>
      </w:r>
      <w:proofErr w:type="gramStart"/>
      <w:r w:rsidRPr="00D51CE3">
        <w:t>18.05.2022</w:t>
      </w:r>
      <w:proofErr w:type="gramEnd"/>
    </w:p>
    <w:p w14:paraId="445D8C65" w14:textId="77777777" w:rsidR="00460C9C" w:rsidRDefault="00460C9C" w:rsidP="009354E9">
      <w:pPr>
        <w:pStyle w:val="ListParagraph"/>
        <w:numPr>
          <w:ilvl w:val="0"/>
          <w:numId w:val="8"/>
        </w:numPr>
        <w:jc w:val="both"/>
      </w:pPr>
      <w:r>
        <w:lastRenderedPageBreak/>
        <w:t>European Green Deal 2020</w:t>
      </w:r>
    </w:p>
    <w:p w14:paraId="53DFE321" w14:textId="194B7FFF" w:rsidR="00460C9C" w:rsidRPr="003C0A6E" w:rsidRDefault="00460C9C" w:rsidP="003C0A6E">
      <w:pPr>
        <w:pStyle w:val="BBody1"/>
        <w:numPr>
          <w:ilvl w:val="0"/>
          <w:numId w:val="0"/>
        </w:numPr>
        <w:rPr>
          <w:b/>
          <w:bCs/>
          <w:u w:val="single"/>
        </w:rPr>
      </w:pPr>
      <w:r w:rsidRPr="003C0A6E">
        <w:rPr>
          <w:b/>
          <w:bCs/>
          <w:u w:val="single"/>
        </w:rPr>
        <w:t>National</w:t>
      </w:r>
      <w:r w:rsidR="007256A5" w:rsidRPr="003C0A6E">
        <w:rPr>
          <w:b/>
          <w:bCs/>
          <w:u w:val="single"/>
        </w:rPr>
        <w:t xml:space="preserve"> </w:t>
      </w:r>
      <w:r w:rsidR="00883E0B" w:rsidRPr="003C0A6E">
        <w:rPr>
          <w:b/>
          <w:bCs/>
          <w:u w:val="single"/>
        </w:rPr>
        <w:t>and Other Energy Sector</w:t>
      </w:r>
      <w:r w:rsidR="00DE42ED" w:rsidRPr="003C0A6E">
        <w:rPr>
          <w:b/>
          <w:bCs/>
          <w:u w:val="single"/>
        </w:rPr>
        <w:t xml:space="preserve"> </w:t>
      </w:r>
      <w:r w:rsidRPr="003C0A6E">
        <w:rPr>
          <w:b/>
          <w:bCs/>
          <w:u w:val="single"/>
        </w:rPr>
        <w:t>Policy</w:t>
      </w:r>
      <w:r w:rsidR="00883E0B" w:rsidRPr="003C0A6E">
        <w:rPr>
          <w:b/>
          <w:bCs/>
          <w:u w:val="single"/>
        </w:rPr>
        <w:t>, Reports and Legislation</w:t>
      </w:r>
    </w:p>
    <w:p w14:paraId="4F1953E9" w14:textId="77777777" w:rsidR="00460C9C" w:rsidRPr="00FB4920" w:rsidRDefault="00460C9C" w:rsidP="009354E9">
      <w:pPr>
        <w:pStyle w:val="ListParagraph"/>
        <w:numPr>
          <w:ilvl w:val="0"/>
          <w:numId w:val="9"/>
        </w:numPr>
        <w:ind w:left="720"/>
        <w:jc w:val="both"/>
      </w:pPr>
      <w:r w:rsidRPr="00FB4920">
        <w:t>National Planning Framework 2018-2040 (NPF)</w:t>
      </w:r>
    </w:p>
    <w:p w14:paraId="19B4F334" w14:textId="77777777" w:rsidR="00460C9C" w:rsidRDefault="00460C9C" w:rsidP="009354E9">
      <w:pPr>
        <w:pStyle w:val="ListParagraph"/>
        <w:numPr>
          <w:ilvl w:val="0"/>
          <w:numId w:val="9"/>
        </w:numPr>
        <w:ind w:left="720"/>
        <w:jc w:val="both"/>
      </w:pPr>
      <w:r w:rsidRPr="00C01B14">
        <w:t xml:space="preserve">The National Development Plan 2021-2030 </w:t>
      </w:r>
    </w:p>
    <w:p w14:paraId="4DE2D866" w14:textId="77777777" w:rsidR="00460C9C" w:rsidRPr="00C01B14" w:rsidRDefault="00460C9C" w:rsidP="009354E9">
      <w:pPr>
        <w:pStyle w:val="ListParagraph"/>
        <w:numPr>
          <w:ilvl w:val="0"/>
          <w:numId w:val="9"/>
        </w:numPr>
        <w:ind w:left="720"/>
        <w:jc w:val="both"/>
      </w:pPr>
      <w:r w:rsidRPr="00AF27A3">
        <w:t>Climate Action and Low Carbon Development (Amendment) Act 2021</w:t>
      </w:r>
    </w:p>
    <w:p w14:paraId="129497F9" w14:textId="77777777" w:rsidR="00460C9C" w:rsidRPr="00CC3E0A" w:rsidRDefault="00460C9C" w:rsidP="009354E9">
      <w:pPr>
        <w:pStyle w:val="ListParagraph"/>
        <w:numPr>
          <w:ilvl w:val="0"/>
          <w:numId w:val="9"/>
        </w:numPr>
        <w:ind w:left="720"/>
        <w:jc w:val="both"/>
      </w:pPr>
      <w:r w:rsidRPr="00FB4920">
        <w:t>Climate Action Plan 202</w:t>
      </w:r>
      <w:r>
        <w:t>4</w:t>
      </w:r>
      <w:r w:rsidRPr="00FB4920">
        <w:t xml:space="preserve"> (CAP 202</w:t>
      </w:r>
      <w:r>
        <w:t>4</w:t>
      </w:r>
      <w:r w:rsidRPr="00FB4920">
        <w:t>)</w:t>
      </w:r>
    </w:p>
    <w:p w14:paraId="6996F9E8" w14:textId="77777777" w:rsidR="00460C9C" w:rsidRPr="00C3189D" w:rsidRDefault="00460C9C" w:rsidP="009354E9">
      <w:pPr>
        <w:pStyle w:val="ListParagraph"/>
        <w:numPr>
          <w:ilvl w:val="0"/>
          <w:numId w:val="9"/>
        </w:numPr>
        <w:ind w:left="720"/>
        <w:jc w:val="both"/>
      </w:pPr>
      <w:r w:rsidRPr="00C3189D">
        <w:t>Energy Security in Ireland to 2030, Energy Security Package, Nov. 2023</w:t>
      </w:r>
    </w:p>
    <w:p w14:paraId="5FFE19F0" w14:textId="77777777" w:rsidR="00460C9C" w:rsidRPr="00C60E8D" w:rsidRDefault="00460C9C" w:rsidP="009354E9">
      <w:pPr>
        <w:pStyle w:val="ListParagraph"/>
        <w:numPr>
          <w:ilvl w:val="0"/>
          <w:numId w:val="9"/>
        </w:numPr>
        <w:ind w:left="720"/>
        <w:jc w:val="both"/>
      </w:pPr>
      <w:r w:rsidRPr="00C60E8D">
        <w:t>National Energy Security Framework, April 2022</w:t>
      </w:r>
    </w:p>
    <w:p w14:paraId="3235F22B" w14:textId="77777777" w:rsidR="00460C9C" w:rsidRDefault="00460C9C" w:rsidP="009354E9">
      <w:pPr>
        <w:pStyle w:val="ListParagraph"/>
        <w:numPr>
          <w:ilvl w:val="0"/>
          <w:numId w:val="9"/>
        </w:numPr>
        <w:ind w:left="720"/>
        <w:jc w:val="both"/>
      </w:pPr>
      <w:r w:rsidRPr="00C60E8D">
        <w:t>Policy Statement on Security of Electricity Supply, November 2021</w:t>
      </w:r>
    </w:p>
    <w:p w14:paraId="5A981743" w14:textId="77777777" w:rsidR="00460C9C" w:rsidRDefault="00460C9C" w:rsidP="009354E9">
      <w:pPr>
        <w:pStyle w:val="ListParagraph"/>
        <w:numPr>
          <w:ilvl w:val="0"/>
          <w:numId w:val="9"/>
        </w:numPr>
        <w:ind w:left="720"/>
        <w:jc w:val="both"/>
      </w:pPr>
      <w:r w:rsidRPr="00A24EF9">
        <w:t xml:space="preserve">Long-Term Strategy on Greenhouse Gas Emissions Reductions (April 2023) </w:t>
      </w:r>
    </w:p>
    <w:p w14:paraId="17C155A9" w14:textId="77777777" w:rsidR="00460C9C" w:rsidRDefault="00460C9C" w:rsidP="009354E9">
      <w:pPr>
        <w:pStyle w:val="ListParagraph"/>
        <w:numPr>
          <w:ilvl w:val="0"/>
          <w:numId w:val="9"/>
        </w:numPr>
        <w:ind w:left="720"/>
        <w:jc w:val="both"/>
      </w:pPr>
      <w:r w:rsidRPr="00C60E8D">
        <w:t xml:space="preserve">National Climate and Energy Plan 2021-2030 (NCEP) </w:t>
      </w:r>
    </w:p>
    <w:p w14:paraId="6EFFF295" w14:textId="77777777" w:rsidR="00460C9C" w:rsidRDefault="00460C9C" w:rsidP="009354E9">
      <w:pPr>
        <w:pStyle w:val="ListParagraph"/>
        <w:numPr>
          <w:ilvl w:val="0"/>
          <w:numId w:val="9"/>
        </w:numPr>
        <w:ind w:left="720"/>
        <w:jc w:val="both"/>
      </w:pPr>
      <w:r w:rsidRPr="00464F3C">
        <w:t>National Biodiversity Action Plan</w:t>
      </w:r>
    </w:p>
    <w:p w14:paraId="2B0CEC49" w14:textId="04E6511B" w:rsidR="00460C9C" w:rsidRPr="00947CE9" w:rsidRDefault="00460C9C" w:rsidP="009354E9">
      <w:pPr>
        <w:pStyle w:val="ListParagraph"/>
        <w:numPr>
          <w:ilvl w:val="0"/>
          <w:numId w:val="10"/>
        </w:numPr>
        <w:ind w:left="720"/>
        <w:jc w:val="both"/>
        <w:rPr>
          <w:rFonts w:eastAsia="Calibri"/>
          <w:b/>
          <w:bCs/>
        </w:rPr>
      </w:pPr>
      <w:r>
        <w:t xml:space="preserve">All-Island Generation Capacity Statement 2022 </w:t>
      </w:r>
      <w:r w:rsidR="00A0600A">
        <w:t>–</w:t>
      </w:r>
      <w:r>
        <w:t xml:space="preserve"> 2031</w:t>
      </w:r>
    </w:p>
    <w:p w14:paraId="490B37A3" w14:textId="72883A56" w:rsidR="00947CE9" w:rsidRPr="00D37CD6" w:rsidRDefault="00947CE9" w:rsidP="00D37CD6">
      <w:pPr>
        <w:pStyle w:val="Heading2"/>
      </w:pPr>
      <w:r>
        <w:t>Local</w:t>
      </w:r>
      <w:r w:rsidRPr="0061188B">
        <w:t xml:space="preserve"> </w:t>
      </w:r>
      <w:r w:rsidR="003A7DBE">
        <w:t xml:space="preserve">and Regional </w:t>
      </w:r>
      <w:r w:rsidRPr="0061188B">
        <w:t>Policy</w:t>
      </w:r>
      <w:r w:rsidR="00D37CD6">
        <w:t xml:space="preserve"> Context</w:t>
      </w:r>
    </w:p>
    <w:p w14:paraId="4AB29484" w14:textId="77777777" w:rsidR="00A0600A" w:rsidRDefault="00A0600A" w:rsidP="00A0600A">
      <w:pPr>
        <w:pStyle w:val="Heading3"/>
        <w:jc w:val="both"/>
      </w:pPr>
      <w:r>
        <w:t>Strategic Integrated Framework Plan for the Shannon Estuary (SIFP)</w:t>
      </w:r>
    </w:p>
    <w:p w14:paraId="3FF85DC6" w14:textId="77777777" w:rsidR="00A0600A" w:rsidRDefault="00A0600A" w:rsidP="00A0600A">
      <w:pPr>
        <w:pStyle w:val="CBody2"/>
        <w:numPr>
          <w:ilvl w:val="0"/>
          <w:numId w:val="0"/>
        </w:numPr>
        <w:jc w:val="both"/>
      </w:pPr>
      <w:r>
        <w:t xml:space="preserve">The Framework Plan (SIFP) was commissioned in 2011 by Clare, Kerry and Limerick City and County Councils, Shannon Development and Shannon </w:t>
      </w:r>
      <w:proofErr w:type="spellStart"/>
      <w:r>
        <w:t>Foynes</w:t>
      </w:r>
      <w:proofErr w:type="spellEnd"/>
      <w:r>
        <w:t xml:space="preserve"> Port Company, as a marine and land use plan. The SIFP has been incorporated into the County Development Plan of these counties. </w:t>
      </w:r>
    </w:p>
    <w:p w14:paraId="36325C42" w14:textId="77777777" w:rsidR="00A0600A" w:rsidRDefault="00A0600A" w:rsidP="00A0600A">
      <w:pPr>
        <w:pStyle w:val="CBody2"/>
        <w:numPr>
          <w:ilvl w:val="0"/>
          <w:numId w:val="0"/>
        </w:numPr>
        <w:jc w:val="both"/>
      </w:pPr>
      <w:r>
        <w:t xml:space="preserve">Nine Strategic Development Locations (SDL’s) are identified, including Site G, Tarbert Power Plant, which is identified and prioritised for marine related industry. Development objectives include: </w:t>
      </w:r>
    </w:p>
    <w:p w14:paraId="450A15F6" w14:textId="77777777" w:rsidR="00A0600A" w:rsidRDefault="00A0600A" w:rsidP="009354E9">
      <w:pPr>
        <w:pStyle w:val="CBody2"/>
        <w:numPr>
          <w:ilvl w:val="0"/>
          <w:numId w:val="10"/>
        </w:numPr>
        <w:ind w:left="810" w:hanging="540"/>
        <w:jc w:val="both"/>
      </w:pPr>
      <w:r w:rsidRPr="00C043F0">
        <w:rPr>
          <w:b/>
          <w:bCs/>
        </w:rPr>
        <w:t>MRI 1.2.11 Tarbert Strategic Energy SDL:</w:t>
      </w:r>
      <w:r>
        <w:t xml:space="preserve"> To safeguard the role and function of the Power Plant Hub at Tarbert, including the NORA Strategic Oil Reserves Plant</w:t>
      </w:r>
    </w:p>
    <w:p w14:paraId="7422F578" w14:textId="77777777" w:rsidR="0062391D" w:rsidRDefault="00A0600A" w:rsidP="009354E9">
      <w:pPr>
        <w:pStyle w:val="CBody2"/>
        <w:numPr>
          <w:ilvl w:val="0"/>
          <w:numId w:val="10"/>
        </w:numPr>
        <w:ind w:left="810" w:hanging="540"/>
        <w:jc w:val="both"/>
      </w:pPr>
      <w:r w:rsidRPr="00C043F0">
        <w:rPr>
          <w:b/>
          <w:bCs/>
        </w:rPr>
        <w:t>MRI 1.2.12 Tarbert Marine Related Industry:</w:t>
      </w:r>
      <w:r>
        <w:t xml:space="preserve"> To facilitate and promote compatible sustainable marine related industry …. All proposals for development shall be required to demonstrate that they are compatible with or complementary with the level of flood risk, and with the neighbouring industrial development. </w:t>
      </w:r>
    </w:p>
    <w:p w14:paraId="347534F1" w14:textId="63AD34AD" w:rsidR="00A0600A" w:rsidRPr="00C3364D" w:rsidRDefault="00A0600A" w:rsidP="009354E9">
      <w:pPr>
        <w:pStyle w:val="CBody2"/>
        <w:numPr>
          <w:ilvl w:val="0"/>
          <w:numId w:val="10"/>
        </w:numPr>
        <w:ind w:left="810" w:hanging="540"/>
        <w:jc w:val="both"/>
      </w:pPr>
      <w:r w:rsidRPr="0062391D">
        <w:rPr>
          <w:b/>
          <w:bCs/>
        </w:rPr>
        <w:lastRenderedPageBreak/>
        <w:t>Objective ERG 1.3:</w:t>
      </w:r>
      <w:r>
        <w:t xml:space="preserve"> To facilitate the further development of energy infrastructure at identified strategic energy sites and encourage appropriate diversification projects.</w:t>
      </w:r>
    </w:p>
    <w:p w14:paraId="1B021275" w14:textId="7A9EE4F6" w:rsidR="00C3364D" w:rsidRDefault="00C3364D" w:rsidP="00C3364D">
      <w:pPr>
        <w:pStyle w:val="Heading3"/>
        <w:jc w:val="both"/>
      </w:pPr>
      <w:bookmarkStart w:id="8" w:name="_Toc158156174"/>
      <w:r w:rsidRPr="00146D76">
        <w:t>Regional Spatial &amp; Economic Strategy</w:t>
      </w:r>
      <w:r>
        <w:t xml:space="preserve"> </w:t>
      </w:r>
      <w:r w:rsidRPr="00146D76">
        <w:t xml:space="preserve">for the </w:t>
      </w:r>
      <w:bookmarkEnd w:id="8"/>
      <w:r>
        <w:t>Southern Region</w:t>
      </w:r>
    </w:p>
    <w:p w14:paraId="398AE454" w14:textId="77777777" w:rsidR="00C3364D" w:rsidRDefault="00C3364D" w:rsidP="009354E9">
      <w:pPr>
        <w:pStyle w:val="CBody2"/>
        <w:numPr>
          <w:ilvl w:val="0"/>
          <w:numId w:val="22"/>
        </w:numPr>
        <w:jc w:val="both"/>
      </w:pPr>
      <w:r w:rsidRPr="00E73095">
        <w:rPr>
          <w:b/>
          <w:bCs/>
        </w:rPr>
        <w:t>RPO 79:</w:t>
      </w:r>
      <w:r>
        <w:t xml:space="preserve"> to support and promote the delivery of the Strategic Development Locations set out in the Strategic Integrated Framework Plan (SIFP).</w:t>
      </w:r>
    </w:p>
    <w:p w14:paraId="0B92F7E9" w14:textId="4CE2B9A5" w:rsidR="00C3364D" w:rsidRPr="00363249" w:rsidRDefault="00C3364D" w:rsidP="009354E9">
      <w:pPr>
        <w:pStyle w:val="CBody2"/>
        <w:numPr>
          <w:ilvl w:val="0"/>
          <w:numId w:val="22"/>
        </w:numPr>
        <w:jc w:val="both"/>
      </w:pPr>
      <w:r w:rsidRPr="00E73095">
        <w:rPr>
          <w:b/>
          <w:bCs/>
        </w:rPr>
        <w:t>RPO 219</w:t>
      </w:r>
      <w:r w:rsidR="006A75F4">
        <w:rPr>
          <w:b/>
          <w:bCs/>
        </w:rPr>
        <w:t>:</w:t>
      </w:r>
      <w:r w:rsidRPr="00E73095">
        <w:rPr>
          <w:b/>
          <w:bCs/>
        </w:rPr>
        <w:t xml:space="preserve"> New Energy Infrastructure</w:t>
      </w:r>
      <w:r>
        <w:t xml:space="preserve"> - to support the sustainable reinforcement and provision of new energy infrastructure to ensure the energy needs of future population and economic expansion within designated growth areas and across the Region can be delivered in a sustainable and timely manner and that capacity is available at local and regional scale to meet future needs.</w:t>
      </w:r>
    </w:p>
    <w:p w14:paraId="7E4FFFC3" w14:textId="371CB5DF" w:rsidR="00363249" w:rsidRPr="00714DC9" w:rsidRDefault="00AE27AA" w:rsidP="00714DC9">
      <w:pPr>
        <w:pStyle w:val="CBody2"/>
        <w:rPr>
          <w:b/>
          <w:bCs/>
        </w:rPr>
      </w:pPr>
      <w:bookmarkStart w:id="9" w:name="_Toc157634104"/>
      <w:bookmarkStart w:id="10" w:name="_Toc158156157"/>
      <w:bookmarkStart w:id="11" w:name="_Toc158202914"/>
      <w:r w:rsidRPr="00D16FF7">
        <w:rPr>
          <w:b/>
          <w:bCs/>
        </w:rPr>
        <w:t>Kerry</w:t>
      </w:r>
      <w:r w:rsidR="00460C9C" w:rsidRPr="00D16FF7">
        <w:rPr>
          <w:b/>
          <w:bCs/>
        </w:rPr>
        <w:t xml:space="preserve"> County Development Plan 2022-2028 (the Plan)</w:t>
      </w:r>
      <w:bookmarkEnd w:id="9"/>
      <w:bookmarkEnd w:id="10"/>
      <w:bookmarkEnd w:id="11"/>
    </w:p>
    <w:p w14:paraId="5B2ADDEE" w14:textId="3CB4C756" w:rsidR="009624C1" w:rsidRPr="008A39F2" w:rsidRDefault="009624C1" w:rsidP="006C22A2">
      <w:pPr>
        <w:pStyle w:val="CBody2"/>
        <w:numPr>
          <w:ilvl w:val="0"/>
          <w:numId w:val="0"/>
        </w:numPr>
        <w:rPr>
          <w:b/>
          <w:bCs/>
        </w:rPr>
      </w:pPr>
      <w:r w:rsidRPr="008A39F2">
        <w:rPr>
          <w:b/>
          <w:bCs/>
        </w:rPr>
        <w:t>Chapter 2: Climate Change and Achieving a Sustainable Future</w:t>
      </w:r>
    </w:p>
    <w:p w14:paraId="2BAAE93B" w14:textId="26B88CBB" w:rsidR="00144D5D" w:rsidRPr="009C429C" w:rsidRDefault="009624C1" w:rsidP="009624C1">
      <w:pPr>
        <w:pStyle w:val="CBody2"/>
        <w:numPr>
          <w:ilvl w:val="0"/>
          <w:numId w:val="0"/>
        </w:numPr>
        <w:jc w:val="both"/>
        <w:rPr>
          <w:b/>
          <w:bCs/>
        </w:rPr>
      </w:pPr>
      <w:r>
        <w:rPr>
          <w:b/>
          <w:bCs/>
        </w:rPr>
        <w:t xml:space="preserve">Relevant </w:t>
      </w:r>
      <w:r w:rsidR="007477DE">
        <w:rPr>
          <w:b/>
          <w:bCs/>
        </w:rPr>
        <w:t xml:space="preserve">Climate </w:t>
      </w:r>
      <w:r w:rsidRPr="009C429C">
        <w:rPr>
          <w:b/>
          <w:bCs/>
        </w:rPr>
        <w:t xml:space="preserve">Policy </w:t>
      </w:r>
      <w:r w:rsidR="007477DE">
        <w:rPr>
          <w:b/>
          <w:bCs/>
        </w:rPr>
        <w:t xml:space="preserve">&amp; </w:t>
      </w:r>
      <w:r w:rsidRPr="009C429C">
        <w:rPr>
          <w:b/>
          <w:bCs/>
        </w:rPr>
        <w:t>Objectives:</w:t>
      </w:r>
    </w:p>
    <w:p w14:paraId="0177217F" w14:textId="4F8E7874" w:rsidR="000B4127" w:rsidRDefault="00105903" w:rsidP="009354E9">
      <w:pPr>
        <w:pStyle w:val="NoSpacing"/>
        <w:numPr>
          <w:ilvl w:val="0"/>
          <w:numId w:val="11"/>
        </w:numPr>
        <w:jc w:val="both"/>
        <w:rPr>
          <w:rFonts w:ascii="Arial" w:hAnsi="Arial" w:cs="Arial"/>
          <w:sz w:val="24"/>
          <w:szCs w:val="24"/>
        </w:rPr>
      </w:pPr>
      <w:r w:rsidRPr="001A6FA4">
        <w:rPr>
          <w:rFonts w:ascii="Arial" w:hAnsi="Arial" w:cs="Arial"/>
          <w:b/>
          <w:bCs/>
          <w:sz w:val="24"/>
          <w:szCs w:val="24"/>
        </w:rPr>
        <w:t>Climate Change and Achieving a Sustainable Future</w:t>
      </w:r>
      <w:r w:rsidR="001A6FA4">
        <w:rPr>
          <w:rFonts w:ascii="Arial" w:hAnsi="Arial" w:cs="Arial"/>
          <w:sz w:val="24"/>
          <w:szCs w:val="24"/>
        </w:rPr>
        <w:t xml:space="preserve">: </w:t>
      </w:r>
      <w:r w:rsidR="009624C1" w:rsidRPr="00BC5C40">
        <w:rPr>
          <w:rFonts w:ascii="Arial" w:hAnsi="Arial" w:cs="Arial"/>
          <w:sz w:val="24"/>
          <w:szCs w:val="24"/>
        </w:rPr>
        <w:t>KCDP</w:t>
      </w:r>
      <w:r w:rsidR="001A6FA4">
        <w:rPr>
          <w:rFonts w:ascii="Arial" w:hAnsi="Arial" w:cs="Arial"/>
          <w:sz w:val="24"/>
          <w:szCs w:val="24"/>
        </w:rPr>
        <w:t xml:space="preserve"> Objectives</w:t>
      </w:r>
      <w:r w:rsidR="009624C1" w:rsidRPr="00BC5C40">
        <w:rPr>
          <w:rFonts w:ascii="Arial" w:hAnsi="Arial" w:cs="Arial"/>
          <w:sz w:val="24"/>
          <w:szCs w:val="24"/>
        </w:rPr>
        <w:t xml:space="preserve"> 2-1 – 2-21</w:t>
      </w:r>
    </w:p>
    <w:p w14:paraId="70164105" w14:textId="47E0F69C" w:rsidR="005167E6" w:rsidRPr="005167E6" w:rsidRDefault="005167E6" w:rsidP="009354E9">
      <w:pPr>
        <w:pStyle w:val="ListParagraph"/>
        <w:numPr>
          <w:ilvl w:val="0"/>
          <w:numId w:val="11"/>
        </w:numPr>
      </w:pPr>
      <w:r>
        <w:t xml:space="preserve">Section 2.6 </w:t>
      </w:r>
      <w:r w:rsidR="007477DE">
        <w:t xml:space="preserve">Kerry County Development Plan 2022-2028 – Climate Action </w:t>
      </w:r>
    </w:p>
    <w:p w14:paraId="31C3AB0B" w14:textId="4A36F696" w:rsidR="005167E6" w:rsidRPr="005167E6" w:rsidRDefault="005167E6" w:rsidP="009354E9">
      <w:pPr>
        <w:pStyle w:val="ListParagraph"/>
        <w:numPr>
          <w:ilvl w:val="0"/>
          <w:numId w:val="11"/>
        </w:numPr>
      </w:pPr>
      <w:r>
        <w:t xml:space="preserve">Section </w:t>
      </w:r>
      <w:r w:rsidR="007477DE">
        <w:t xml:space="preserve">2.6.1 Sustainable Land Use and Resource Efficiency </w:t>
      </w:r>
    </w:p>
    <w:p w14:paraId="54AA4BA5" w14:textId="0577D827" w:rsidR="005167E6" w:rsidRPr="005167E6" w:rsidRDefault="005167E6" w:rsidP="009354E9">
      <w:pPr>
        <w:pStyle w:val="ListParagraph"/>
        <w:numPr>
          <w:ilvl w:val="0"/>
          <w:numId w:val="11"/>
        </w:numPr>
      </w:pPr>
      <w:r>
        <w:t xml:space="preserve">Section </w:t>
      </w:r>
      <w:r w:rsidR="007477DE">
        <w:t xml:space="preserve">2.6.2 Sustainable Land Use and Decarbonisation </w:t>
      </w:r>
    </w:p>
    <w:p w14:paraId="2F73EB3B" w14:textId="77396004" w:rsidR="005167E6" w:rsidRPr="005167E6" w:rsidRDefault="005167E6" w:rsidP="009354E9">
      <w:pPr>
        <w:pStyle w:val="ListParagraph"/>
        <w:numPr>
          <w:ilvl w:val="0"/>
          <w:numId w:val="11"/>
        </w:numPr>
      </w:pPr>
      <w:r>
        <w:t xml:space="preserve">Section </w:t>
      </w:r>
      <w:r w:rsidR="007477DE">
        <w:t xml:space="preserve">2.6.2.1 Transition to a Carbon Neutral Economy and Society </w:t>
      </w:r>
    </w:p>
    <w:p w14:paraId="3617F1A7" w14:textId="74EFA0E1" w:rsidR="00C3426C" w:rsidRPr="00B36102" w:rsidRDefault="005167E6" w:rsidP="009354E9">
      <w:pPr>
        <w:pStyle w:val="ListParagraph"/>
        <w:numPr>
          <w:ilvl w:val="0"/>
          <w:numId w:val="11"/>
        </w:numPr>
      </w:pPr>
      <w:r>
        <w:t xml:space="preserve">Section </w:t>
      </w:r>
      <w:r w:rsidR="007477DE">
        <w:t>2.6.2.2 Energy Policy and Planning 2.6.3 Sustainable Land Use and Climate Resilience</w:t>
      </w:r>
    </w:p>
    <w:p w14:paraId="50C4B5FA" w14:textId="27439102" w:rsidR="00460C9C" w:rsidRPr="008A39F2" w:rsidRDefault="00460C9C" w:rsidP="006C22A2">
      <w:pPr>
        <w:pStyle w:val="CBody2"/>
        <w:numPr>
          <w:ilvl w:val="0"/>
          <w:numId w:val="0"/>
        </w:numPr>
        <w:rPr>
          <w:b/>
          <w:bCs/>
        </w:rPr>
      </w:pPr>
      <w:r w:rsidRPr="008A39F2">
        <w:rPr>
          <w:b/>
          <w:bCs/>
        </w:rPr>
        <w:t xml:space="preserve">Chapter </w:t>
      </w:r>
      <w:r w:rsidR="00710DC7" w:rsidRPr="008A39F2">
        <w:rPr>
          <w:b/>
          <w:bCs/>
        </w:rPr>
        <w:t>9</w:t>
      </w:r>
      <w:r w:rsidR="004940A8" w:rsidRPr="008A39F2">
        <w:rPr>
          <w:b/>
          <w:bCs/>
        </w:rPr>
        <w:t>:  Economic Development</w:t>
      </w:r>
    </w:p>
    <w:p w14:paraId="6A4B0E77" w14:textId="31DC5161" w:rsidR="000A7D21" w:rsidRDefault="004940A8" w:rsidP="00BB4753">
      <w:pPr>
        <w:pStyle w:val="CBody2"/>
        <w:numPr>
          <w:ilvl w:val="0"/>
          <w:numId w:val="0"/>
        </w:numPr>
        <w:jc w:val="both"/>
        <w:rPr>
          <w:b/>
          <w:bCs/>
        </w:rPr>
      </w:pPr>
      <w:r w:rsidRPr="00BB4753">
        <w:rPr>
          <w:b/>
          <w:bCs/>
        </w:rPr>
        <w:t xml:space="preserve">Section </w:t>
      </w:r>
      <w:r w:rsidR="00BB4753" w:rsidRPr="00BB4753">
        <w:rPr>
          <w:b/>
          <w:bCs/>
        </w:rPr>
        <w:t>9.6.1</w:t>
      </w:r>
      <w:r w:rsidR="00882164">
        <w:rPr>
          <w:b/>
          <w:bCs/>
        </w:rPr>
        <w:t>.1</w:t>
      </w:r>
      <w:r w:rsidR="00BB4753" w:rsidRPr="00BB4753">
        <w:rPr>
          <w:b/>
          <w:bCs/>
        </w:rPr>
        <w:t xml:space="preserve"> Shannon Estuary</w:t>
      </w:r>
      <w:r w:rsidR="00460C9C" w:rsidRPr="00BB4753">
        <w:rPr>
          <w:b/>
          <w:bCs/>
        </w:rPr>
        <w:t>:</w:t>
      </w:r>
      <w:r w:rsidR="0076101F">
        <w:rPr>
          <w:b/>
          <w:bCs/>
        </w:rPr>
        <w:t xml:space="preserve">  </w:t>
      </w:r>
      <w:r w:rsidR="000A7D21">
        <w:rPr>
          <w:b/>
          <w:bCs/>
        </w:rPr>
        <w:t>Shannon Integrated Framework Plan (SIFP)</w:t>
      </w:r>
    </w:p>
    <w:p w14:paraId="6CCFCFC7" w14:textId="0CA2F490" w:rsidR="00460C9C" w:rsidRDefault="004C74BE" w:rsidP="00BB4753">
      <w:pPr>
        <w:pStyle w:val="CBody2"/>
        <w:numPr>
          <w:ilvl w:val="0"/>
          <w:numId w:val="0"/>
        </w:numPr>
        <w:jc w:val="both"/>
      </w:pPr>
      <w:r w:rsidRPr="00063F84">
        <w:t>The SIFP is a land and marine based framework plan to guide future development of the Shannon Estuary</w:t>
      </w:r>
      <w:r w:rsidR="0096485A" w:rsidRPr="00063F84">
        <w:t>.  It has identified 9 no. strategic development locations</w:t>
      </w:r>
      <w:r w:rsidR="00063F84" w:rsidRPr="00063F84">
        <w:t xml:space="preserve"> including </w:t>
      </w:r>
      <w:r w:rsidR="0076101F" w:rsidRPr="00E7709F">
        <w:rPr>
          <w:b/>
          <w:bCs/>
        </w:rPr>
        <w:t>Tab</w:t>
      </w:r>
      <w:r w:rsidR="00727F07" w:rsidRPr="00E7709F">
        <w:rPr>
          <w:b/>
          <w:bCs/>
        </w:rPr>
        <w:t>e</w:t>
      </w:r>
      <w:r w:rsidR="0076101F" w:rsidRPr="00E7709F">
        <w:rPr>
          <w:b/>
          <w:bCs/>
        </w:rPr>
        <w:t>rt</w:t>
      </w:r>
      <w:r w:rsidR="00395E68" w:rsidRPr="00E7709F">
        <w:rPr>
          <w:b/>
          <w:bCs/>
        </w:rPr>
        <w:t>/</w:t>
      </w:r>
      <w:r w:rsidR="0076101F" w:rsidRPr="00E7709F">
        <w:rPr>
          <w:b/>
          <w:bCs/>
        </w:rPr>
        <w:t xml:space="preserve">Ballylongford </w:t>
      </w:r>
      <w:r w:rsidR="00E7709F" w:rsidRPr="00E7709F">
        <w:rPr>
          <w:b/>
          <w:bCs/>
        </w:rPr>
        <w:t>L</w:t>
      </w:r>
      <w:r w:rsidR="0076101F" w:rsidRPr="00E7709F">
        <w:rPr>
          <w:b/>
          <w:bCs/>
        </w:rPr>
        <w:t>andbank</w:t>
      </w:r>
      <w:r w:rsidR="00063F84">
        <w:rPr>
          <w:b/>
          <w:bCs/>
        </w:rPr>
        <w:t xml:space="preserve">.  </w:t>
      </w:r>
      <w:r w:rsidR="00716298" w:rsidRPr="00B0704E">
        <w:t>The area is viewed as a driver for economic growth within the County and Region</w:t>
      </w:r>
      <w:r w:rsidR="00B0704E" w:rsidRPr="00B0704E">
        <w:t>.</w:t>
      </w:r>
      <w:r w:rsidR="00B0704E">
        <w:rPr>
          <w:b/>
          <w:bCs/>
        </w:rPr>
        <w:t xml:space="preserve">  </w:t>
      </w:r>
      <w:r w:rsidR="00727F07">
        <w:t xml:space="preserve">The policy recognises Tarbert </w:t>
      </w:r>
      <w:r w:rsidR="00F14BCA">
        <w:t xml:space="preserve">Island as an Energy Hub and </w:t>
      </w:r>
      <w:r w:rsidR="00B0704E">
        <w:t xml:space="preserve">the importance of </w:t>
      </w:r>
      <w:r w:rsidR="00F14BCA">
        <w:t xml:space="preserve">its strategic location in the context of the </w:t>
      </w:r>
      <w:r w:rsidR="005E2E04">
        <w:t>SIFP</w:t>
      </w:r>
      <w:r w:rsidR="009401E0">
        <w:t xml:space="preserve"> </w:t>
      </w:r>
      <w:r w:rsidR="009D4DE7">
        <w:t xml:space="preserve">(See Objective KCDP-25 and KCDP 26 </w:t>
      </w:r>
      <w:r w:rsidR="009401E0">
        <w:t>below).</w:t>
      </w:r>
    </w:p>
    <w:p w14:paraId="182D660B" w14:textId="2A71414B" w:rsidR="00CE7927" w:rsidRDefault="00977FC0" w:rsidP="009354E9">
      <w:pPr>
        <w:pStyle w:val="CBody2"/>
        <w:numPr>
          <w:ilvl w:val="0"/>
          <w:numId w:val="19"/>
        </w:numPr>
        <w:jc w:val="both"/>
      </w:pPr>
      <w:r w:rsidRPr="00977FC0">
        <w:rPr>
          <w:b/>
          <w:bCs/>
        </w:rPr>
        <w:lastRenderedPageBreak/>
        <w:t xml:space="preserve">Objective </w:t>
      </w:r>
      <w:r w:rsidR="00CE7927" w:rsidRPr="00977FC0">
        <w:rPr>
          <w:b/>
          <w:bCs/>
        </w:rPr>
        <w:t>KCDP 9-25</w:t>
      </w:r>
      <w:r w:rsidR="00CE7927">
        <w:t xml:space="preserve"> states</w:t>
      </w:r>
      <w:r w:rsidR="00520C16">
        <w:t xml:space="preserve"> in relation to Shannon Estuary and </w:t>
      </w:r>
      <w:proofErr w:type="gramStart"/>
      <w:r w:rsidR="00520C16">
        <w:t>Tarbert</w:t>
      </w:r>
      <w:r w:rsidR="00CE7927">
        <w:t>;</w:t>
      </w:r>
      <w:proofErr w:type="gramEnd"/>
    </w:p>
    <w:p w14:paraId="3B2CCDD2" w14:textId="294878EC" w:rsidR="00CE7927" w:rsidRDefault="00CE7927" w:rsidP="009D3703">
      <w:pPr>
        <w:pStyle w:val="CBody2"/>
        <w:numPr>
          <w:ilvl w:val="0"/>
          <w:numId w:val="0"/>
        </w:numPr>
        <w:ind w:left="720"/>
        <w:jc w:val="both"/>
      </w:pPr>
      <w:r w:rsidRPr="009D3703">
        <w:rPr>
          <w:i/>
          <w:iCs/>
        </w:rPr>
        <w:t>‘</w:t>
      </w:r>
      <w:r w:rsidR="009D3703" w:rsidRPr="009D3703">
        <w:rPr>
          <w:i/>
          <w:iCs/>
        </w:rPr>
        <w:t>Promote and facilitate the sustainable development of the Tarbert-Ballylongford landbank for industry, utilising the presence of deep water, existing infrastructure, natural resources, and waterside location to harness the potential of this Strategic Location. Proposals for marine related industry, general industrial development, and particularly those industries creating a synergism with existing uses and contributing to the development of a strategic energy hub at this location will also be encouraged.</w:t>
      </w:r>
      <w:r w:rsidR="009D3703">
        <w:t>’</w:t>
      </w:r>
    </w:p>
    <w:p w14:paraId="4C44F5B4" w14:textId="361F9951" w:rsidR="008C2A4C" w:rsidRDefault="00977FC0" w:rsidP="009354E9">
      <w:pPr>
        <w:pStyle w:val="CBody2"/>
        <w:numPr>
          <w:ilvl w:val="0"/>
          <w:numId w:val="18"/>
        </w:numPr>
        <w:jc w:val="both"/>
      </w:pPr>
      <w:r w:rsidRPr="00977FC0">
        <w:rPr>
          <w:b/>
          <w:bCs/>
        </w:rPr>
        <w:t xml:space="preserve">Objective </w:t>
      </w:r>
      <w:r w:rsidR="008C2A4C" w:rsidRPr="00977FC0">
        <w:rPr>
          <w:b/>
          <w:bCs/>
        </w:rPr>
        <w:t>KCDP 9-26</w:t>
      </w:r>
      <w:r w:rsidR="008C2A4C">
        <w:t xml:space="preserve"> </w:t>
      </w:r>
      <w:r w:rsidR="009401E0">
        <w:t xml:space="preserve">states in relation to safeguarding the Power </w:t>
      </w:r>
      <w:proofErr w:type="gramStart"/>
      <w:r w:rsidR="009401E0">
        <w:t>Plant;</w:t>
      </w:r>
      <w:proofErr w:type="gramEnd"/>
    </w:p>
    <w:p w14:paraId="05B0A9D4" w14:textId="7DD0BF39" w:rsidR="008C2A4C" w:rsidRPr="00063F84" w:rsidRDefault="008C2A4C" w:rsidP="008C2A4C">
      <w:pPr>
        <w:pStyle w:val="CBody2"/>
        <w:numPr>
          <w:ilvl w:val="0"/>
          <w:numId w:val="0"/>
        </w:numPr>
        <w:ind w:left="720"/>
        <w:jc w:val="both"/>
        <w:rPr>
          <w:b/>
          <w:bCs/>
        </w:rPr>
      </w:pPr>
      <w:r w:rsidRPr="008C2A4C">
        <w:rPr>
          <w:i/>
          <w:iCs/>
        </w:rPr>
        <w:t>‘Safeguard the role and function of the Power Plant Hub at Tarbert, including the NORA Strategic Oil Reserves Plant, as a key driver of economic growth in the Region, encouraging its sustainable growth and diversification, in accordance with Regional and National Energy Objectives</w:t>
      </w:r>
      <w:r>
        <w:t>.’</w:t>
      </w:r>
    </w:p>
    <w:p w14:paraId="2F1A034E" w14:textId="71EA4886" w:rsidR="00F14BCA" w:rsidRPr="000B4127" w:rsidRDefault="009D3703" w:rsidP="00BB4753">
      <w:pPr>
        <w:pStyle w:val="CBody2"/>
        <w:numPr>
          <w:ilvl w:val="0"/>
          <w:numId w:val="0"/>
        </w:numPr>
        <w:jc w:val="both"/>
      </w:pPr>
      <w:r>
        <w:t xml:space="preserve">Other </w:t>
      </w:r>
      <w:r w:rsidR="00096750" w:rsidRPr="000B4127">
        <w:t xml:space="preserve">Relevant </w:t>
      </w:r>
      <w:r w:rsidR="009D2DEE">
        <w:t xml:space="preserve">Economic Development </w:t>
      </w:r>
      <w:r w:rsidR="00096750" w:rsidRPr="000B4127">
        <w:t>Policies</w:t>
      </w:r>
      <w:r w:rsidR="00BC2F84">
        <w:t xml:space="preserve"> and </w:t>
      </w:r>
      <w:proofErr w:type="gramStart"/>
      <w:r w:rsidR="00BC2F84">
        <w:t>Objectives;</w:t>
      </w:r>
      <w:proofErr w:type="gramEnd"/>
    </w:p>
    <w:p w14:paraId="38D0FE60" w14:textId="2E876EF8" w:rsidR="00477EDC" w:rsidRDefault="00D44A66" w:rsidP="009354E9">
      <w:pPr>
        <w:pStyle w:val="ListParagraph"/>
        <w:numPr>
          <w:ilvl w:val="0"/>
          <w:numId w:val="10"/>
        </w:numPr>
        <w:ind w:left="720"/>
      </w:pPr>
      <w:r>
        <w:t xml:space="preserve">Section </w:t>
      </w:r>
      <w:r w:rsidR="007F1038" w:rsidRPr="009E1A75">
        <w:t>9</w:t>
      </w:r>
      <w:r w:rsidR="007C34A1">
        <w:t>.2.2</w:t>
      </w:r>
      <w:r w:rsidR="00477EDC">
        <w:t xml:space="preserve"> Regional Policy</w:t>
      </w:r>
    </w:p>
    <w:p w14:paraId="46492E8A" w14:textId="1A63BAF0" w:rsidR="00170911" w:rsidRDefault="00D44A66" w:rsidP="009354E9">
      <w:pPr>
        <w:pStyle w:val="ListParagraph"/>
        <w:numPr>
          <w:ilvl w:val="0"/>
          <w:numId w:val="10"/>
        </w:numPr>
        <w:ind w:left="720"/>
      </w:pPr>
      <w:r>
        <w:t xml:space="preserve">Section </w:t>
      </w:r>
      <w:proofErr w:type="gramStart"/>
      <w:r w:rsidR="00DE5544">
        <w:t>9.3  Sustainable</w:t>
      </w:r>
      <w:proofErr w:type="gramEnd"/>
      <w:r w:rsidR="00DE5544">
        <w:t xml:space="preserve"> Economic Development and Climate Action</w:t>
      </w:r>
    </w:p>
    <w:p w14:paraId="6DBE7C63" w14:textId="5619E581" w:rsidR="00395E68" w:rsidRDefault="00107727" w:rsidP="009354E9">
      <w:pPr>
        <w:pStyle w:val="ListParagraph"/>
        <w:numPr>
          <w:ilvl w:val="0"/>
          <w:numId w:val="10"/>
        </w:numPr>
        <w:ind w:left="720"/>
      </w:pPr>
      <w:r>
        <w:t>Section 9.6.1 Economic Development Land Use Zonings</w:t>
      </w:r>
    </w:p>
    <w:p w14:paraId="3931F83D" w14:textId="03C74121" w:rsidR="00B506CB" w:rsidRDefault="00A37D45" w:rsidP="009354E9">
      <w:pPr>
        <w:pStyle w:val="ListParagraph"/>
        <w:numPr>
          <w:ilvl w:val="0"/>
          <w:numId w:val="10"/>
        </w:numPr>
        <w:ind w:left="720"/>
      </w:pPr>
      <w:r w:rsidRPr="00A37D45">
        <w:rPr>
          <w:b/>
          <w:bCs/>
        </w:rPr>
        <w:t>Sustainable Economic Development and Climate Action</w:t>
      </w:r>
      <w:r>
        <w:t xml:space="preserve">: </w:t>
      </w:r>
      <w:r w:rsidR="00A814D9">
        <w:t xml:space="preserve">KCDP </w:t>
      </w:r>
      <w:r w:rsidR="006E1614">
        <w:t>Objective</w:t>
      </w:r>
      <w:r w:rsidR="001B29E7">
        <w:t>s</w:t>
      </w:r>
      <w:r w:rsidR="006E1614">
        <w:t xml:space="preserve"> 9-2</w:t>
      </w:r>
      <w:r w:rsidR="00B573B2">
        <w:t xml:space="preserve"> &amp;</w:t>
      </w:r>
      <w:r w:rsidR="006E1614">
        <w:t xml:space="preserve"> 9-3 </w:t>
      </w:r>
    </w:p>
    <w:p w14:paraId="19C05E29" w14:textId="4DE32837" w:rsidR="00B573B2" w:rsidRDefault="00B506CB" w:rsidP="009354E9">
      <w:pPr>
        <w:pStyle w:val="ListParagraph"/>
        <w:numPr>
          <w:ilvl w:val="0"/>
          <w:numId w:val="10"/>
        </w:numPr>
        <w:ind w:left="720"/>
      </w:pPr>
      <w:r>
        <w:rPr>
          <w:b/>
          <w:bCs/>
        </w:rPr>
        <w:t>Strategic Economic Objectives</w:t>
      </w:r>
      <w:r w:rsidR="00B573B2">
        <w:rPr>
          <w:b/>
          <w:bCs/>
        </w:rPr>
        <w:t>:</w:t>
      </w:r>
      <w:r>
        <w:rPr>
          <w:b/>
          <w:bCs/>
        </w:rPr>
        <w:t xml:space="preserve"> </w:t>
      </w:r>
      <w:r w:rsidRPr="00B573B2">
        <w:t xml:space="preserve">KCDP </w:t>
      </w:r>
      <w:r w:rsidR="00386FDD">
        <w:t xml:space="preserve">Objective </w:t>
      </w:r>
      <w:r w:rsidR="006E1614" w:rsidRPr="00B573B2">
        <w:t>9-9</w:t>
      </w:r>
      <w:r w:rsidR="001B29E7" w:rsidRPr="00B573B2">
        <w:t xml:space="preserve"> </w:t>
      </w:r>
      <w:r w:rsidR="006E1614">
        <w:t xml:space="preserve"> </w:t>
      </w:r>
    </w:p>
    <w:p w14:paraId="1394745B" w14:textId="184596FA" w:rsidR="006E1614" w:rsidRDefault="00BD7890" w:rsidP="009354E9">
      <w:pPr>
        <w:pStyle w:val="ListParagraph"/>
        <w:numPr>
          <w:ilvl w:val="0"/>
          <w:numId w:val="10"/>
        </w:numPr>
        <w:ind w:left="720"/>
      </w:pPr>
      <w:r w:rsidRPr="00BD7890">
        <w:rPr>
          <w:b/>
          <w:bCs/>
        </w:rPr>
        <w:t>Land Use Planning for Economic Development</w:t>
      </w:r>
      <w:r>
        <w:t xml:space="preserve">: </w:t>
      </w:r>
      <w:r w:rsidR="00386FDD">
        <w:t xml:space="preserve">KCDP Objective </w:t>
      </w:r>
      <w:r w:rsidR="006E1614">
        <w:t>9-22</w:t>
      </w:r>
    </w:p>
    <w:p w14:paraId="0898F166" w14:textId="34546721" w:rsidR="00DE5544" w:rsidRDefault="000D6D41" w:rsidP="009354E9">
      <w:pPr>
        <w:pStyle w:val="ListParagraph"/>
        <w:numPr>
          <w:ilvl w:val="0"/>
          <w:numId w:val="10"/>
        </w:numPr>
        <w:ind w:left="720"/>
      </w:pPr>
      <w:r w:rsidRPr="00DF177B">
        <w:rPr>
          <w:b/>
          <w:bCs/>
        </w:rPr>
        <w:t>Shannon Estuary</w:t>
      </w:r>
      <w:r w:rsidR="00DF177B" w:rsidRPr="00DF177B">
        <w:rPr>
          <w:b/>
          <w:bCs/>
        </w:rPr>
        <w:t>:</w:t>
      </w:r>
      <w:r w:rsidR="005A6A99">
        <w:t xml:space="preserve"> KCDP</w:t>
      </w:r>
      <w:r>
        <w:t xml:space="preserve"> Objective</w:t>
      </w:r>
      <w:r w:rsidR="00DF05AB">
        <w:t xml:space="preserve"> </w:t>
      </w:r>
      <w:r>
        <w:t>9-23</w:t>
      </w:r>
      <w:r w:rsidR="005A6A99">
        <w:t xml:space="preserve"> and</w:t>
      </w:r>
      <w:r w:rsidR="00A914B6">
        <w:t xml:space="preserve"> KCDP</w:t>
      </w:r>
      <w:r w:rsidR="0052786E">
        <w:t xml:space="preserve"> 9-24</w:t>
      </w:r>
    </w:p>
    <w:p w14:paraId="6900CE9E" w14:textId="558D97CE" w:rsidR="00F4517A" w:rsidRDefault="00F4517A" w:rsidP="009354E9">
      <w:pPr>
        <w:pStyle w:val="ListParagraph"/>
        <w:numPr>
          <w:ilvl w:val="0"/>
          <w:numId w:val="10"/>
        </w:numPr>
        <w:ind w:left="720"/>
      </w:pPr>
      <w:r w:rsidRPr="00DF177B">
        <w:rPr>
          <w:b/>
          <w:bCs/>
        </w:rPr>
        <w:t>Supporting Infrastructure</w:t>
      </w:r>
      <w:r w:rsidR="00DF177B" w:rsidRPr="00DF177B">
        <w:rPr>
          <w:b/>
          <w:bCs/>
        </w:rPr>
        <w:t>:</w:t>
      </w:r>
      <w:r w:rsidR="00DF177B">
        <w:t xml:space="preserve"> </w:t>
      </w:r>
      <w:r w:rsidR="005A6A99">
        <w:t xml:space="preserve"> KCDP </w:t>
      </w:r>
      <w:r w:rsidR="00542637">
        <w:t xml:space="preserve">Objectives </w:t>
      </w:r>
      <w:r>
        <w:t>9-29</w:t>
      </w:r>
      <w:r w:rsidR="005A6A99">
        <w:t xml:space="preserve"> and</w:t>
      </w:r>
      <w:r w:rsidR="00F062F5">
        <w:t xml:space="preserve"> KCDP 9-30</w:t>
      </w:r>
    </w:p>
    <w:p w14:paraId="0AE87BB2" w14:textId="1D06CD46" w:rsidR="00F666A2" w:rsidRDefault="00F666A2" w:rsidP="009354E9">
      <w:pPr>
        <w:pStyle w:val="ListParagraph"/>
        <w:numPr>
          <w:ilvl w:val="0"/>
          <w:numId w:val="10"/>
        </w:numPr>
        <w:ind w:left="720"/>
      </w:pPr>
      <w:r>
        <w:t xml:space="preserve">Section </w:t>
      </w:r>
      <w:proofErr w:type="gramStart"/>
      <w:r>
        <w:t>9.7.3  Rural</w:t>
      </w:r>
      <w:proofErr w:type="gramEnd"/>
      <w:r>
        <w:t xml:space="preserve"> Economy</w:t>
      </w:r>
    </w:p>
    <w:p w14:paraId="170265C9" w14:textId="17CCBD67" w:rsidR="0046188E" w:rsidRDefault="00C678C6" w:rsidP="009354E9">
      <w:pPr>
        <w:pStyle w:val="ListParagraph"/>
        <w:numPr>
          <w:ilvl w:val="0"/>
          <w:numId w:val="10"/>
        </w:numPr>
        <w:ind w:left="720"/>
      </w:pPr>
      <w:r>
        <w:t xml:space="preserve">Section </w:t>
      </w:r>
      <w:proofErr w:type="gramStart"/>
      <w:r>
        <w:t>9.7.6.2  Natural</w:t>
      </w:r>
      <w:proofErr w:type="gramEnd"/>
      <w:r>
        <w:t xml:space="preserve"> Resources</w:t>
      </w:r>
    </w:p>
    <w:p w14:paraId="43AFEE56" w14:textId="77777777" w:rsidR="00344097" w:rsidRPr="005C08EE" w:rsidRDefault="00344097" w:rsidP="006C22A2">
      <w:pPr>
        <w:pStyle w:val="CBody2"/>
        <w:numPr>
          <w:ilvl w:val="0"/>
          <w:numId w:val="0"/>
        </w:numPr>
        <w:rPr>
          <w:b/>
          <w:bCs/>
        </w:rPr>
      </w:pPr>
      <w:r w:rsidRPr="005C08EE">
        <w:rPr>
          <w:b/>
          <w:bCs/>
        </w:rPr>
        <w:t>Chapter 11: Environment</w:t>
      </w:r>
    </w:p>
    <w:p w14:paraId="727D78A6" w14:textId="6C9CBF73" w:rsidR="00E149EA" w:rsidRPr="0078299E" w:rsidRDefault="005C08EE" w:rsidP="00BF303C">
      <w:pPr>
        <w:pStyle w:val="CBody2"/>
        <w:numPr>
          <w:ilvl w:val="0"/>
          <w:numId w:val="0"/>
        </w:numPr>
        <w:jc w:val="both"/>
        <w:rPr>
          <w:i/>
          <w:iCs/>
        </w:rPr>
      </w:pPr>
      <w:r w:rsidRPr="005C08EE">
        <w:t>Se</w:t>
      </w:r>
      <w:r>
        <w:t xml:space="preserve">ction 11.6 sets out the policies and objectives in relation to the protection of the rural landscape.  </w:t>
      </w:r>
      <w:r w:rsidR="00A06BFF">
        <w:t>R</w:t>
      </w:r>
      <w:r>
        <w:t>elevant Objectives</w:t>
      </w:r>
      <w:r w:rsidR="008303B3">
        <w:t xml:space="preserve"> in relation to landscape protection</w:t>
      </w:r>
      <w:r>
        <w:t xml:space="preserve"> include KCDP 11-</w:t>
      </w:r>
      <w:r w:rsidR="00E149EA">
        <w:t>77 and Objective KCDP 11-78</w:t>
      </w:r>
      <w:r w:rsidR="0078299E">
        <w:t>.</w:t>
      </w:r>
      <w:r w:rsidR="0078299E">
        <w:rPr>
          <w:i/>
          <w:iCs/>
        </w:rPr>
        <w:t xml:space="preserve">  </w:t>
      </w:r>
      <w:r w:rsidR="00E149EA">
        <w:t xml:space="preserve">Section 11.6.3 </w:t>
      </w:r>
      <w:r w:rsidR="00EE613F">
        <w:t xml:space="preserve">of the plan discusses Landscape Designations.  The subject site </w:t>
      </w:r>
      <w:proofErr w:type="gramStart"/>
      <w:r w:rsidR="00EB19F7">
        <w:t xml:space="preserve">is </w:t>
      </w:r>
      <w:r w:rsidR="00EE613F">
        <w:t>located in</w:t>
      </w:r>
      <w:proofErr w:type="gramEnd"/>
      <w:r w:rsidR="00EE613F">
        <w:t xml:space="preserve"> the Tarbert – Ballylongford </w:t>
      </w:r>
      <w:r w:rsidR="009623C3">
        <w:t>landbank.</w:t>
      </w:r>
    </w:p>
    <w:p w14:paraId="68C75FB7" w14:textId="77777777" w:rsidR="00344097" w:rsidRPr="002C39A1" w:rsidRDefault="00344097" w:rsidP="00BF303C">
      <w:pPr>
        <w:pStyle w:val="NoSpacing"/>
        <w:ind w:left="720"/>
        <w:jc w:val="both"/>
        <w:rPr>
          <w:rFonts w:ascii="Arial" w:hAnsi="Arial" w:cs="Arial"/>
          <w:sz w:val="24"/>
          <w:szCs w:val="24"/>
        </w:rPr>
      </w:pPr>
    </w:p>
    <w:p w14:paraId="5B4BCFE9" w14:textId="063E4A69" w:rsidR="00460C9C" w:rsidRDefault="00D53B08" w:rsidP="006C22A2">
      <w:pPr>
        <w:pStyle w:val="CBody2"/>
        <w:numPr>
          <w:ilvl w:val="0"/>
          <w:numId w:val="0"/>
        </w:numPr>
        <w:jc w:val="both"/>
        <w:rPr>
          <w:b/>
          <w:bCs/>
        </w:rPr>
      </w:pPr>
      <w:r w:rsidRPr="00D53B08">
        <w:rPr>
          <w:b/>
          <w:bCs/>
        </w:rPr>
        <w:t xml:space="preserve">Chapter 12:  Energy </w:t>
      </w:r>
    </w:p>
    <w:p w14:paraId="7FE45366" w14:textId="47660AB7" w:rsidR="00401C85" w:rsidRPr="00954775" w:rsidRDefault="00954775" w:rsidP="009354E9">
      <w:pPr>
        <w:pStyle w:val="CBody2"/>
        <w:numPr>
          <w:ilvl w:val="0"/>
          <w:numId w:val="17"/>
        </w:numPr>
        <w:jc w:val="both"/>
      </w:pPr>
      <w:r w:rsidRPr="00DC48B0">
        <w:rPr>
          <w:b/>
          <w:bCs/>
        </w:rPr>
        <w:t>KCDP 12-1</w:t>
      </w:r>
      <w:r w:rsidRPr="00954775">
        <w:t xml:space="preserve"> </w:t>
      </w:r>
      <w:proofErr w:type="gramStart"/>
      <w:r w:rsidRPr="00954775">
        <w:t>states;</w:t>
      </w:r>
      <w:proofErr w:type="gramEnd"/>
    </w:p>
    <w:p w14:paraId="21EE3BD0" w14:textId="3D64126F" w:rsidR="008D6A62" w:rsidRPr="00EB0583" w:rsidRDefault="00954775" w:rsidP="00EB0583">
      <w:pPr>
        <w:pStyle w:val="CBody2"/>
        <w:numPr>
          <w:ilvl w:val="0"/>
          <w:numId w:val="0"/>
        </w:numPr>
        <w:ind w:left="720"/>
        <w:jc w:val="both"/>
        <w:rPr>
          <w:b/>
          <w:bCs/>
        </w:rPr>
      </w:pPr>
      <w:r w:rsidRPr="00954775">
        <w:rPr>
          <w:i/>
          <w:iCs/>
        </w:rPr>
        <w:lastRenderedPageBreak/>
        <w:t>‘Support and facilitate the sustainable provision of a reliable energy supply in the County, with emphasis on increasing energy supplies derived from renewable resources whilst seeking to protect and maintain biodiversity, archaeological and built heritage, the landscape and residential amenity and integration of spatial planning and energy planning in the county</w:t>
      </w:r>
      <w:r>
        <w:t>.’</w:t>
      </w:r>
    </w:p>
    <w:p w14:paraId="37A88D1C" w14:textId="270FE0A0" w:rsidR="00DC48B0" w:rsidRPr="006F6616" w:rsidRDefault="00627866" w:rsidP="004A573F">
      <w:pPr>
        <w:pStyle w:val="BBody1"/>
        <w:numPr>
          <w:ilvl w:val="0"/>
          <w:numId w:val="0"/>
        </w:numPr>
        <w:jc w:val="both"/>
        <w:rPr>
          <w:i/>
          <w:iCs/>
        </w:rPr>
      </w:pPr>
      <w:r w:rsidRPr="00240938">
        <w:rPr>
          <w:b/>
          <w:bCs/>
        </w:rPr>
        <w:t>Section 12.5</w:t>
      </w:r>
      <w:r>
        <w:t xml:space="preserve"> of the KCDP </w:t>
      </w:r>
      <w:r w:rsidR="00DC48B0">
        <w:t>discusses</w:t>
      </w:r>
      <w:r>
        <w:t xml:space="preserve"> </w:t>
      </w:r>
      <w:r w:rsidR="00103DDE" w:rsidRPr="00131F53">
        <w:rPr>
          <w:b/>
          <w:bCs/>
        </w:rPr>
        <w:t>Renewable Energy</w:t>
      </w:r>
      <w:r w:rsidR="00DC48B0">
        <w:t>, with the following relevant policies;</w:t>
      </w:r>
      <w:r w:rsidR="00AC269C">
        <w:t xml:space="preserve"> </w:t>
      </w:r>
      <w:r w:rsidR="00DC48B0" w:rsidRPr="00DC48B0">
        <w:rPr>
          <w:b/>
          <w:bCs/>
        </w:rPr>
        <w:t>KCDP 12-14</w:t>
      </w:r>
      <w:r w:rsidR="00DC48B0">
        <w:t xml:space="preserve"> </w:t>
      </w:r>
      <w:r w:rsidR="009359A9">
        <w:t xml:space="preserve">and </w:t>
      </w:r>
      <w:r w:rsidR="00DC48B0" w:rsidRPr="00DC48B0">
        <w:rPr>
          <w:b/>
          <w:bCs/>
        </w:rPr>
        <w:t>KCDP 12-15</w:t>
      </w:r>
      <w:r w:rsidR="004A573F">
        <w:t>.</w:t>
      </w:r>
    </w:p>
    <w:p w14:paraId="6224DE11" w14:textId="6119542E" w:rsidR="005374A6" w:rsidRDefault="005374A6" w:rsidP="00BF303C">
      <w:pPr>
        <w:pStyle w:val="CBody2"/>
        <w:numPr>
          <w:ilvl w:val="0"/>
          <w:numId w:val="0"/>
        </w:numPr>
        <w:jc w:val="both"/>
      </w:pPr>
      <w:r>
        <w:t xml:space="preserve">Other </w:t>
      </w:r>
      <w:r w:rsidRPr="000B4127">
        <w:t xml:space="preserve">Relevant </w:t>
      </w:r>
      <w:r w:rsidRPr="00E678D9">
        <w:rPr>
          <w:b/>
          <w:bCs/>
        </w:rPr>
        <w:t xml:space="preserve">Energy </w:t>
      </w:r>
      <w:r w:rsidRPr="00EB0583">
        <w:t>Policies</w:t>
      </w:r>
      <w:r w:rsidR="001E65A7">
        <w:rPr>
          <w:b/>
          <w:bCs/>
        </w:rPr>
        <w:t xml:space="preserve"> </w:t>
      </w:r>
      <w:r>
        <w:t>and Objectives</w:t>
      </w:r>
      <w:r w:rsidR="00EB0583">
        <w:t xml:space="preserve"> </w:t>
      </w:r>
      <w:r w:rsidR="00EB0583">
        <w:rPr>
          <w:b/>
          <w:bCs/>
        </w:rPr>
        <w:t>(Chapter 12</w:t>
      </w:r>
      <w:proofErr w:type="gramStart"/>
      <w:r w:rsidR="00EB0583">
        <w:rPr>
          <w:b/>
          <w:bCs/>
        </w:rPr>
        <w:t>)</w:t>
      </w:r>
      <w:r>
        <w:t>;</w:t>
      </w:r>
      <w:proofErr w:type="gramEnd"/>
    </w:p>
    <w:p w14:paraId="5768A359" w14:textId="097F4C06" w:rsidR="00131F53" w:rsidRPr="00EE42F1" w:rsidRDefault="00466407" w:rsidP="00C6208E">
      <w:pPr>
        <w:pStyle w:val="NoSpacing"/>
        <w:numPr>
          <w:ilvl w:val="0"/>
          <w:numId w:val="29"/>
        </w:numPr>
        <w:jc w:val="both"/>
        <w:rPr>
          <w:rFonts w:ascii="Arial" w:hAnsi="Arial" w:cs="Arial"/>
          <w:sz w:val="24"/>
          <w:szCs w:val="24"/>
        </w:rPr>
      </w:pPr>
      <w:r w:rsidRPr="00EE42F1">
        <w:rPr>
          <w:rFonts w:ascii="Arial" w:hAnsi="Arial" w:cs="Arial"/>
          <w:sz w:val="24"/>
          <w:szCs w:val="24"/>
        </w:rPr>
        <w:t>Section 12.2  Gas Networks</w:t>
      </w:r>
      <w:r w:rsidR="00590D2B" w:rsidRPr="00EE42F1">
        <w:rPr>
          <w:rFonts w:ascii="Arial" w:hAnsi="Arial" w:cs="Arial"/>
          <w:sz w:val="24"/>
          <w:szCs w:val="24"/>
        </w:rPr>
        <w:t xml:space="preserve">, </w:t>
      </w:r>
      <w:r w:rsidRPr="00EE42F1">
        <w:rPr>
          <w:rFonts w:ascii="Arial" w:hAnsi="Arial" w:cs="Arial"/>
          <w:b/>
          <w:bCs/>
          <w:sz w:val="24"/>
          <w:szCs w:val="24"/>
        </w:rPr>
        <w:t>Gas Network</w:t>
      </w:r>
      <w:r w:rsidR="001E65A7" w:rsidRPr="00EE42F1">
        <w:rPr>
          <w:rFonts w:ascii="Arial" w:hAnsi="Arial" w:cs="Arial"/>
          <w:b/>
          <w:bCs/>
          <w:sz w:val="24"/>
          <w:szCs w:val="24"/>
        </w:rPr>
        <w:t>:</w:t>
      </w:r>
      <w:r w:rsidR="001E65A7" w:rsidRPr="00EE42F1">
        <w:rPr>
          <w:rFonts w:ascii="Arial" w:hAnsi="Arial" w:cs="Arial"/>
          <w:sz w:val="24"/>
          <w:szCs w:val="24"/>
        </w:rPr>
        <w:t xml:space="preserve"> </w:t>
      </w:r>
      <w:r w:rsidR="00A914B6" w:rsidRPr="00EE42F1">
        <w:rPr>
          <w:rFonts w:ascii="Arial" w:hAnsi="Arial" w:cs="Arial"/>
          <w:sz w:val="24"/>
          <w:szCs w:val="24"/>
        </w:rPr>
        <w:t xml:space="preserve">KDCP </w:t>
      </w:r>
      <w:r w:rsidR="008644D3" w:rsidRPr="00EE42F1">
        <w:rPr>
          <w:rFonts w:ascii="Arial" w:hAnsi="Arial" w:cs="Arial"/>
          <w:sz w:val="24"/>
          <w:szCs w:val="24"/>
        </w:rPr>
        <w:t>Objective</w:t>
      </w:r>
      <w:r w:rsidR="00A914B6" w:rsidRPr="00EE42F1">
        <w:rPr>
          <w:rFonts w:ascii="Arial" w:hAnsi="Arial" w:cs="Arial"/>
          <w:sz w:val="24"/>
          <w:szCs w:val="24"/>
        </w:rPr>
        <w:t>s</w:t>
      </w:r>
      <w:r w:rsidRPr="00EE42F1">
        <w:rPr>
          <w:rFonts w:ascii="Arial" w:hAnsi="Arial" w:cs="Arial"/>
          <w:sz w:val="24"/>
          <w:szCs w:val="24"/>
        </w:rPr>
        <w:t xml:space="preserve"> 12-2 – 12-5,</w:t>
      </w:r>
      <w:r w:rsidR="00590D2B" w:rsidRPr="00EE42F1">
        <w:rPr>
          <w:rFonts w:ascii="Arial" w:hAnsi="Arial" w:cs="Arial"/>
          <w:sz w:val="24"/>
          <w:szCs w:val="24"/>
        </w:rPr>
        <w:t xml:space="preserve"> </w:t>
      </w:r>
      <w:r w:rsidR="002F6D38" w:rsidRPr="00EE42F1">
        <w:rPr>
          <w:rFonts w:ascii="Arial" w:hAnsi="Arial" w:cs="Arial"/>
          <w:sz w:val="24"/>
          <w:szCs w:val="24"/>
        </w:rPr>
        <w:t>Section 12.3  Transmission Grid</w:t>
      </w:r>
      <w:r w:rsidR="00590D2B" w:rsidRPr="00EE42F1">
        <w:rPr>
          <w:rFonts w:ascii="Arial" w:hAnsi="Arial" w:cs="Arial"/>
          <w:sz w:val="24"/>
          <w:szCs w:val="24"/>
        </w:rPr>
        <w:t xml:space="preserve">, </w:t>
      </w:r>
      <w:r w:rsidRPr="00EE42F1">
        <w:rPr>
          <w:rFonts w:ascii="Arial" w:hAnsi="Arial" w:cs="Arial"/>
          <w:b/>
          <w:bCs/>
          <w:sz w:val="24"/>
          <w:szCs w:val="24"/>
        </w:rPr>
        <w:t>Transmission Grid</w:t>
      </w:r>
      <w:r w:rsidR="001E65A7" w:rsidRPr="00EE42F1">
        <w:rPr>
          <w:rFonts w:ascii="Arial" w:hAnsi="Arial" w:cs="Arial"/>
          <w:sz w:val="24"/>
          <w:szCs w:val="24"/>
        </w:rPr>
        <w:t xml:space="preserve">: </w:t>
      </w:r>
      <w:r w:rsidRPr="00EE42F1">
        <w:rPr>
          <w:rFonts w:ascii="Arial" w:hAnsi="Arial" w:cs="Arial"/>
          <w:sz w:val="24"/>
          <w:szCs w:val="24"/>
        </w:rPr>
        <w:t xml:space="preserve"> KCDP </w:t>
      </w:r>
      <w:r w:rsidR="00A914B6" w:rsidRPr="00EE42F1">
        <w:rPr>
          <w:rFonts w:ascii="Arial" w:hAnsi="Arial" w:cs="Arial"/>
          <w:sz w:val="24"/>
          <w:szCs w:val="24"/>
        </w:rPr>
        <w:t xml:space="preserve">Objectives </w:t>
      </w:r>
      <w:r w:rsidRPr="00EE42F1">
        <w:rPr>
          <w:rFonts w:ascii="Arial" w:hAnsi="Arial" w:cs="Arial"/>
          <w:sz w:val="24"/>
          <w:szCs w:val="24"/>
        </w:rPr>
        <w:t>12-6 – 12-11,</w:t>
      </w:r>
      <w:r w:rsidR="00590D2B" w:rsidRPr="00EE42F1">
        <w:rPr>
          <w:rFonts w:ascii="Arial" w:hAnsi="Arial" w:cs="Arial"/>
          <w:sz w:val="24"/>
          <w:szCs w:val="24"/>
        </w:rPr>
        <w:t xml:space="preserve"> </w:t>
      </w:r>
      <w:r w:rsidR="001729B1" w:rsidRPr="00EE42F1">
        <w:rPr>
          <w:rFonts w:ascii="Arial" w:hAnsi="Arial" w:cs="Arial"/>
          <w:b/>
          <w:bCs/>
          <w:sz w:val="24"/>
          <w:szCs w:val="24"/>
        </w:rPr>
        <w:t>Renewable Energy</w:t>
      </w:r>
      <w:r w:rsidR="001E65A7" w:rsidRPr="00EE42F1">
        <w:rPr>
          <w:rFonts w:ascii="Arial" w:hAnsi="Arial" w:cs="Arial"/>
          <w:b/>
          <w:bCs/>
          <w:sz w:val="24"/>
          <w:szCs w:val="24"/>
        </w:rPr>
        <w:t>:</w:t>
      </w:r>
      <w:r w:rsidR="001729B1" w:rsidRPr="00EE42F1">
        <w:rPr>
          <w:rFonts w:ascii="Arial" w:hAnsi="Arial" w:cs="Arial"/>
          <w:sz w:val="24"/>
          <w:szCs w:val="24"/>
        </w:rPr>
        <w:t xml:space="preserve"> KCDP Objectives 12-16 – 12-17</w:t>
      </w:r>
      <w:r w:rsidR="00590D2B" w:rsidRPr="00EE42F1">
        <w:rPr>
          <w:rFonts w:ascii="Arial" w:hAnsi="Arial" w:cs="Arial"/>
          <w:sz w:val="24"/>
          <w:szCs w:val="24"/>
        </w:rPr>
        <w:t xml:space="preserve">, </w:t>
      </w:r>
      <w:r w:rsidR="00774973" w:rsidRPr="00EE42F1">
        <w:rPr>
          <w:rFonts w:ascii="Arial" w:hAnsi="Arial" w:cs="Arial"/>
          <w:sz w:val="24"/>
          <w:szCs w:val="24"/>
        </w:rPr>
        <w:t>Section 12.5.1  National Targets and Responding to Climate Change</w:t>
      </w:r>
      <w:r w:rsidR="00590D2B" w:rsidRPr="00EE42F1">
        <w:rPr>
          <w:rFonts w:ascii="Arial" w:hAnsi="Arial" w:cs="Arial"/>
          <w:sz w:val="24"/>
          <w:szCs w:val="24"/>
        </w:rPr>
        <w:t xml:space="preserve">, </w:t>
      </w:r>
      <w:r w:rsidR="001729B1" w:rsidRPr="00EE42F1">
        <w:rPr>
          <w:rFonts w:ascii="Arial" w:hAnsi="Arial" w:cs="Arial"/>
          <w:sz w:val="24"/>
          <w:szCs w:val="24"/>
        </w:rPr>
        <w:t>Section 12.5.2  Policy Overview and Legislative Context</w:t>
      </w:r>
      <w:r w:rsidR="00590D2B" w:rsidRPr="00EE42F1">
        <w:rPr>
          <w:rFonts w:ascii="Arial" w:hAnsi="Arial" w:cs="Arial"/>
          <w:sz w:val="24"/>
          <w:szCs w:val="24"/>
        </w:rPr>
        <w:t xml:space="preserve">, </w:t>
      </w:r>
      <w:r w:rsidR="00A3598D" w:rsidRPr="00EE42F1">
        <w:rPr>
          <w:rFonts w:ascii="Arial" w:hAnsi="Arial" w:cs="Arial"/>
          <w:sz w:val="24"/>
          <w:szCs w:val="24"/>
        </w:rPr>
        <w:t>Section 12.5.2.1 Regional Spatial &amp; Economic Strategy Renewable Energy Policy</w:t>
      </w:r>
      <w:r w:rsidR="00590D2B" w:rsidRPr="00EE42F1">
        <w:rPr>
          <w:rFonts w:ascii="Arial" w:hAnsi="Arial" w:cs="Arial"/>
          <w:sz w:val="24"/>
          <w:szCs w:val="24"/>
        </w:rPr>
        <w:t xml:space="preserve">, </w:t>
      </w:r>
      <w:r w:rsidR="00470341" w:rsidRPr="00EE42F1">
        <w:rPr>
          <w:rFonts w:ascii="Arial" w:hAnsi="Arial" w:cs="Arial"/>
          <w:sz w:val="24"/>
          <w:szCs w:val="24"/>
        </w:rPr>
        <w:t xml:space="preserve">Section </w:t>
      </w:r>
      <w:r w:rsidR="00A3598D" w:rsidRPr="00EE42F1">
        <w:rPr>
          <w:rFonts w:ascii="Arial" w:hAnsi="Arial" w:cs="Arial"/>
          <w:sz w:val="24"/>
          <w:szCs w:val="24"/>
        </w:rPr>
        <w:t>12.5.2.2  Methodology for Local Authority Renewable Energy Strategies (LARES), SEAI 2013</w:t>
      </w:r>
      <w:r w:rsidR="00590D2B" w:rsidRPr="00EE42F1">
        <w:rPr>
          <w:rFonts w:ascii="Arial" w:hAnsi="Arial" w:cs="Arial"/>
          <w:sz w:val="24"/>
          <w:szCs w:val="24"/>
        </w:rPr>
        <w:t xml:space="preserve">, </w:t>
      </w:r>
      <w:r w:rsidR="00470341" w:rsidRPr="00EE42F1">
        <w:rPr>
          <w:rFonts w:ascii="Arial" w:hAnsi="Arial" w:cs="Arial"/>
          <w:sz w:val="24"/>
          <w:szCs w:val="24"/>
        </w:rPr>
        <w:t xml:space="preserve">Section </w:t>
      </w:r>
      <w:r w:rsidR="0012714C" w:rsidRPr="00EE42F1">
        <w:rPr>
          <w:rFonts w:ascii="Arial" w:hAnsi="Arial" w:cs="Arial"/>
          <w:sz w:val="24"/>
          <w:szCs w:val="24"/>
        </w:rPr>
        <w:t>12.5.4  Renewable Energy Policy</w:t>
      </w:r>
      <w:r w:rsidR="00590D2B" w:rsidRPr="00EE42F1">
        <w:rPr>
          <w:rFonts w:ascii="Arial" w:hAnsi="Arial" w:cs="Arial"/>
          <w:sz w:val="24"/>
          <w:szCs w:val="24"/>
        </w:rPr>
        <w:t xml:space="preserve">, </w:t>
      </w:r>
      <w:r w:rsidR="000F5C6F" w:rsidRPr="00EE42F1">
        <w:rPr>
          <w:rFonts w:ascii="Arial" w:hAnsi="Arial" w:cs="Arial"/>
          <w:b/>
          <w:bCs/>
          <w:sz w:val="24"/>
          <w:szCs w:val="24"/>
        </w:rPr>
        <w:t>Community Consultation, Community Benefit &amp; Community Projects</w:t>
      </w:r>
      <w:r w:rsidR="001E65A7" w:rsidRPr="00EE42F1">
        <w:rPr>
          <w:rFonts w:ascii="Arial" w:hAnsi="Arial" w:cs="Arial"/>
          <w:sz w:val="24"/>
          <w:szCs w:val="24"/>
        </w:rPr>
        <w:t>:</w:t>
      </w:r>
      <w:r w:rsidR="000F5C6F" w:rsidRPr="00EE42F1">
        <w:rPr>
          <w:rFonts w:ascii="Arial" w:hAnsi="Arial" w:cs="Arial"/>
          <w:sz w:val="24"/>
          <w:szCs w:val="24"/>
        </w:rPr>
        <w:t xml:space="preserve"> KCDP Objectives 12-37 </w:t>
      </w:r>
      <w:r w:rsidR="00AD6EF6" w:rsidRPr="00EE42F1">
        <w:rPr>
          <w:rFonts w:ascii="Arial" w:hAnsi="Arial" w:cs="Arial"/>
          <w:sz w:val="24"/>
          <w:szCs w:val="24"/>
        </w:rPr>
        <w:t>–</w:t>
      </w:r>
      <w:r w:rsidR="000F5C6F" w:rsidRPr="00EE42F1">
        <w:rPr>
          <w:rFonts w:ascii="Arial" w:hAnsi="Arial" w:cs="Arial"/>
          <w:sz w:val="24"/>
          <w:szCs w:val="24"/>
        </w:rPr>
        <w:t xml:space="preserve"> </w:t>
      </w:r>
      <w:r w:rsidR="00AD6EF6" w:rsidRPr="00EE42F1">
        <w:rPr>
          <w:rFonts w:ascii="Arial" w:hAnsi="Arial" w:cs="Arial"/>
          <w:sz w:val="24"/>
          <w:szCs w:val="24"/>
        </w:rPr>
        <w:t>12-42</w:t>
      </w:r>
      <w:r w:rsidR="007A25E1" w:rsidRPr="00EE42F1">
        <w:rPr>
          <w:rFonts w:ascii="Arial" w:hAnsi="Arial" w:cs="Arial"/>
          <w:sz w:val="24"/>
          <w:szCs w:val="24"/>
        </w:rPr>
        <w:t>,  Council policy on Community Benefits arising from proposed renewable energy projects outlined in Section 12.5.</w:t>
      </w:r>
      <w:r w:rsidR="00AD3AF7" w:rsidRPr="00EE42F1">
        <w:rPr>
          <w:rFonts w:ascii="Arial" w:hAnsi="Arial" w:cs="Arial"/>
          <w:sz w:val="24"/>
          <w:szCs w:val="24"/>
        </w:rPr>
        <w:t>5.</w:t>
      </w:r>
    </w:p>
    <w:p w14:paraId="1DE618A8" w14:textId="442A1E03" w:rsidR="00460C9C" w:rsidRDefault="00460C9C" w:rsidP="006C22A2">
      <w:pPr>
        <w:pStyle w:val="Heading3"/>
        <w:numPr>
          <w:ilvl w:val="0"/>
          <w:numId w:val="0"/>
        </w:numPr>
        <w:jc w:val="both"/>
      </w:pPr>
      <w:bookmarkStart w:id="12" w:name="_Toc158156159"/>
      <w:r w:rsidRPr="007D0252">
        <w:t xml:space="preserve">Other </w:t>
      </w:r>
      <w:r w:rsidR="006F6881">
        <w:t xml:space="preserve">Relevant </w:t>
      </w:r>
      <w:r w:rsidR="00461211">
        <w:t>K</w:t>
      </w:r>
      <w:r>
        <w:t>C</w:t>
      </w:r>
      <w:r w:rsidR="00DB6DE3">
        <w:t>DP</w:t>
      </w:r>
      <w:r>
        <w:t xml:space="preserve"> </w:t>
      </w:r>
      <w:r w:rsidRPr="007D0252">
        <w:t xml:space="preserve">Policies and </w:t>
      </w:r>
      <w:proofErr w:type="gramStart"/>
      <w:r w:rsidRPr="007D0252">
        <w:t>Objectives</w:t>
      </w:r>
      <w:bookmarkEnd w:id="12"/>
      <w:r w:rsidR="00E678D9">
        <w:t>;</w:t>
      </w:r>
      <w:proofErr w:type="gramEnd"/>
    </w:p>
    <w:p w14:paraId="007D53D5" w14:textId="09D60A65" w:rsidR="00BF303C" w:rsidRPr="00BA776D" w:rsidRDefault="00BF303C" w:rsidP="00C6208E">
      <w:pPr>
        <w:pStyle w:val="NoSpacing"/>
        <w:numPr>
          <w:ilvl w:val="0"/>
          <w:numId w:val="28"/>
        </w:numPr>
        <w:jc w:val="both"/>
        <w:rPr>
          <w:rFonts w:ascii="Arial" w:hAnsi="Arial" w:cs="Arial"/>
          <w:sz w:val="24"/>
          <w:szCs w:val="24"/>
        </w:rPr>
      </w:pPr>
      <w:r w:rsidRPr="005A547F">
        <w:rPr>
          <w:rFonts w:ascii="Arial" w:hAnsi="Arial" w:cs="Arial"/>
          <w:b/>
          <w:bCs/>
          <w:sz w:val="24"/>
          <w:szCs w:val="24"/>
        </w:rPr>
        <w:t xml:space="preserve">Chapter 8 </w:t>
      </w:r>
      <w:r w:rsidR="00805C20">
        <w:rPr>
          <w:rFonts w:ascii="Arial" w:hAnsi="Arial" w:cs="Arial"/>
          <w:b/>
          <w:bCs/>
          <w:sz w:val="24"/>
          <w:szCs w:val="24"/>
        </w:rPr>
        <w:t xml:space="preserve">- </w:t>
      </w:r>
      <w:r w:rsidRPr="005A547F">
        <w:rPr>
          <w:rFonts w:ascii="Arial" w:hAnsi="Arial" w:cs="Arial"/>
          <w:b/>
          <w:bCs/>
          <w:sz w:val="24"/>
          <w:szCs w:val="24"/>
        </w:rPr>
        <w:t>Archaeological Heritage</w:t>
      </w:r>
      <w:r w:rsidRPr="005A547F">
        <w:rPr>
          <w:rFonts w:ascii="Arial" w:hAnsi="Arial" w:cs="Arial"/>
          <w:sz w:val="24"/>
          <w:szCs w:val="24"/>
        </w:rPr>
        <w:t>: 8-24 – 8-33</w:t>
      </w:r>
      <w:r w:rsidR="00BA776D">
        <w:rPr>
          <w:rFonts w:ascii="Arial" w:hAnsi="Arial" w:cs="Arial"/>
          <w:sz w:val="24"/>
          <w:szCs w:val="24"/>
        </w:rPr>
        <w:t xml:space="preserve">, </w:t>
      </w:r>
      <w:r w:rsidRPr="00BA776D">
        <w:rPr>
          <w:rFonts w:ascii="Arial" w:hAnsi="Arial" w:cs="Arial"/>
          <w:b/>
          <w:bCs/>
          <w:sz w:val="24"/>
          <w:szCs w:val="24"/>
        </w:rPr>
        <w:t>Built Architectural Heritage</w:t>
      </w:r>
      <w:r w:rsidRPr="00BA776D">
        <w:rPr>
          <w:rFonts w:ascii="Arial" w:hAnsi="Arial" w:cs="Arial"/>
          <w:sz w:val="24"/>
          <w:szCs w:val="24"/>
        </w:rPr>
        <w:t xml:space="preserve">: </w:t>
      </w:r>
      <w:r w:rsidR="00E749A5" w:rsidRPr="00BA776D">
        <w:rPr>
          <w:rFonts w:ascii="Arial" w:hAnsi="Arial" w:cs="Arial"/>
          <w:sz w:val="24"/>
          <w:szCs w:val="24"/>
        </w:rPr>
        <w:t>8-.4 – 8-39</w:t>
      </w:r>
    </w:p>
    <w:p w14:paraId="58D32AE0" w14:textId="1D0EC1E4" w:rsidR="000913B8" w:rsidRDefault="00080147" w:rsidP="00C6208E">
      <w:pPr>
        <w:pStyle w:val="NoSpacing"/>
        <w:numPr>
          <w:ilvl w:val="0"/>
          <w:numId w:val="28"/>
        </w:numPr>
        <w:jc w:val="both"/>
        <w:rPr>
          <w:rFonts w:ascii="Arial" w:hAnsi="Arial" w:cs="Arial"/>
          <w:sz w:val="24"/>
          <w:szCs w:val="24"/>
        </w:rPr>
      </w:pPr>
      <w:r w:rsidRPr="00EC5A61">
        <w:rPr>
          <w:rFonts w:ascii="Arial" w:hAnsi="Arial" w:cs="Arial"/>
          <w:b/>
          <w:bCs/>
          <w:sz w:val="24"/>
          <w:szCs w:val="24"/>
        </w:rPr>
        <w:t xml:space="preserve">Chapter 11 - Biodiversity: </w:t>
      </w:r>
      <w:r w:rsidRPr="004E7151">
        <w:rPr>
          <w:rFonts w:ascii="Arial" w:hAnsi="Arial" w:cs="Arial"/>
          <w:sz w:val="24"/>
          <w:szCs w:val="24"/>
        </w:rPr>
        <w:t>KCDP 11-1 – 11–9</w:t>
      </w:r>
      <w:r w:rsidR="00AD3AF7">
        <w:rPr>
          <w:rFonts w:ascii="Arial" w:hAnsi="Arial" w:cs="Arial"/>
          <w:sz w:val="24"/>
          <w:szCs w:val="24"/>
        </w:rPr>
        <w:t xml:space="preserve">, </w:t>
      </w:r>
      <w:r w:rsidR="00432A6B" w:rsidRPr="00EC5A61">
        <w:rPr>
          <w:rFonts w:ascii="Arial" w:hAnsi="Arial" w:cs="Arial"/>
          <w:b/>
          <w:bCs/>
          <w:sz w:val="24"/>
          <w:szCs w:val="24"/>
        </w:rPr>
        <w:t>Invasive Species</w:t>
      </w:r>
      <w:r w:rsidR="00C85DF6" w:rsidRPr="00EC5A61">
        <w:rPr>
          <w:rFonts w:ascii="Arial" w:hAnsi="Arial" w:cs="Arial"/>
          <w:b/>
          <w:bCs/>
          <w:sz w:val="24"/>
          <w:szCs w:val="24"/>
        </w:rPr>
        <w:t xml:space="preserve">: </w:t>
      </w:r>
      <w:r w:rsidR="00C85DF6" w:rsidRPr="004E7151">
        <w:rPr>
          <w:rFonts w:ascii="Arial" w:hAnsi="Arial" w:cs="Arial"/>
          <w:sz w:val="24"/>
          <w:szCs w:val="24"/>
        </w:rPr>
        <w:t>KCDP 11-16 – 11–18</w:t>
      </w:r>
      <w:r w:rsidR="00AD3AF7">
        <w:rPr>
          <w:rFonts w:ascii="Arial" w:hAnsi="Arial" w:cs="Arial"/>
          <w:sz w:val="24"/>
          <w:szCs w:val="24"/>
        </w:rPr>
        <w:t xml:space="preserve">, </w:t>
      </w:r>
      <w:r w:rsidR="00EC5A61" w:rsidRPr="00EC5A61">
        <w:rPr>
          <w:rFonts w:ascii="Arial" w:hAnsi="Arial" w:cs="Arial"/>
          <w:b/>
          <w:bCs/>
          <w:sz w:val="24"/>
          <w:szCs w:val="24"/>
        </w:rPr>
        <w:t xml:space="preserve">All Ireland Pollinator Plan 2021 – 2015: </w:t>
      </w:r>
      <w:r w:rsidR="00EC5A61" w:rsidRPr="004E7151">
        <w:rPr>
          <w:rFonts w:ascii="Arial" w:hAnsi="Arial" w:cs="Arial"/>
          <w:sz w:val="24"/>
          <w:szCs w:val="24"/>
        </w:rPr>
        <w:t>KCDP 11-19 – 11</w:t>
      </w:r>
      <w:r w:rsidR="00C62DDA">
        <w:rPr>
          <w:rFonts w:ascii="Arial" w:hAnsi="Arial" w:cs="Arial"/>
          <w:sz w:val="24"/>
          <w:szCs w:val="24"/>
        </w:rPr>
        <w:t>–</w:t>
      </w:r>
      <w:r w:rsidR="00EC5A61" w:rsidRPr="004E7151">
        <w:rPr>
          <w:rFonts w:ascii="Arial" w:hAnsi="Arial" w:cs="Arial"/>
          <w:sz w:val="24"/>
          <w:szCs w:val="24"/>
        </w:rPr>
        <w:t>20</w:t>
      </w:r>
      <w:r w:rsidR="00AD3AF7">
        <w:rPr>
          <w:rFonts w:ascii="Arial" w:hAnsi="Arial" w:cs="Arial"/>
          <w:sz w:val="24"/>
          <w:szCs w:val="24"/>
        </w:rPr>
        <w:t xml:space="preserve">, </w:t>
      </w:r>
      <w:r w:rsidR="00C62DDA" w:rsidRPr="00855125">
        <w:rPr>
          <w:rFonts w:ascii="Arial" w:hAnsi="Arial" w:cs="Arial"/>
          <w:b/>
          <w:bCs/>
          <w:sz w:val="24"/>
          <w:szCs w:val="24"/>
        </w:rPr>
        <w:t>Air and Noise Pollution</w:t>
      </w:r>
      <w:r w:rsidR="00855125">
        <w:rPr>
          <w:rFonts w:ascii="Arial" w:hAnsi="Arial" w:cs="Arial"/>
          <w:sz w:val="24"/>
          <w:szCs w:val="24"/>
        </w:rPr>
        <w:t>: KCDP 11–31 – 11–41</w:t>
      </w:r>
      <w:r w:rsidR="00AD3AF7">
        <w:rPr>
          <w:rFonts w:ascii="Arial" w:hAnsi="Arial" w:cs="Arial"/>
          <w:sz w:val="24"/>
          <w:szCs w:val="24"/>
        </w:rPr>
        <w:t xml:space="preserve">, </w:t>
      </w:r>
      <w:r w:rsidR="009C58FA" w:rsidRPr="00D0463D">
        <w:rPr>
          <w:rFonts w:ascii="Arial" w:hAnsi="Arial" w:cs="Arial"/>
          <w:b/>
          <w:bCs/>
          <w:sz w:val="24"/>
          <w:szCs w:val="24"/>
        </w:rPr>
        <w:t>Light Pollution</w:t>
      </w:r>
      <w:r w:rsidR="009C58FA">
        <w:rPr>
          <w:rFonts w:ascii="Arial" w:hAnsi="Arial" w:cs="Arial"/>
          <w:sz w:val="24"/>
          <w:szCs w:val="24"/>
        </w:rPr>
        <w:t>: KCDP 11-42</w:t>
      </w:r>
      <w:r w:rsidR="0047032F">
        <w:rPr>
          <w:rFonts w:ascii="Arial" w:hAnsi="Arial" w:cs="Arial"/>
          <w:sz w:val="24"/>
          <w:szCs w:val="24"/>
        </w:rPr>
        <w:t xml:space="preserve"> – 11-43</w:t>
      </w:r>
      <w:r w:rsidR="00AD3AF7">
        <w:rPr>
          <w:rFonts w:ascii="Arial" w:hAnsi="Arial" w:cs="Arial"/>
          <w:sz w:val="24"/>
          <w:szCs w:val="24"/>
        </w:rPr>
        <w:t xml:space="preserve">, </w:t>
      </w:r>
      <w:r w:rsidR="002D1B46" w:rsidRPr="00D0463D">
        <w:rPr>
          <w:rFonts w:ascii="Arial" w:hAnsi="Arial" w:cs="Arial"/>
          <w:b/>
          <w:bCs/>
          <w:sz w:val="24"/>
          <w:szCs w:val="24"/>
        </w:rPr>
        <w:t>Lights and Biodiversity</w:t>
      </w:r>
      <w:r w:rsidR="002D1B46">
        <w:rPr>
          <w:rFonts w:ascii="Arial" w:hAnsi="Arial" w:cs="Arial"/>
          <w:sz w:val="24"/>
          <w:szCs w:val="24"/>
        </w:rPr>
        <w:t>: KCDP 11-44</w:t>
      </w:r>
      <w:r w:rsidR="00AD3AF7">
        <w:rPr>
          <w:rFonts w:ascii="Arial" w:hAnsi="Arial" w:cs="Arial"/>
          <w:sz w:val="24"/>
          <w:szCs w:val="24"/>
        </w:rPr>
        <w:t xml:space="preserve">, </w:t>
      </w:r>
      <w:r w:rsidR="0010798E" w:rsidRPr="00D0463D">
        <w:rPr>
          <w:rFonts w:ascii="Arial" w:hAnsi="Arial" w:cs="Arial"/>
          <w:b/>
          <w:bCs/>
          <w:sz w:val="24"/>
          <w:szCs w:val="24"/>
        </w:rPr>
        <w:t>Land Use and Flood Risk Management</w:t>
      </w:r>
      <w:r w:rsidR="00D0463D">
        <w:rPr>
          <w:rFonts w:ascii="Arial" w:hAnsi="Arial" w:cs="Arial"/>
          <w:sz w:val="24"/>
          <w:szCs w:val="24"/>
        </w:rPr>
        <w:t>:</w:t>
      </w:r>
      <w:r w:rsidR="0010798E">
        <w:rPr>
          <w:rFonts w:ascii="Arial" w:hAnsi="Arial" w:cs="Arial"/>
          <w:sz w:val="24"/>
          <w:szCs w:val="24"/>
        </w:rPr>
        <w:t xml:space="preserve"> KCDP 11-63 – KCDP 11-70</w:t>
      </w:r>
      <w:r w:rsidR="00152FC5">
        <w:rPr>
          <w:rFonts w:ascii="Arial" w:hAnsi="Arial" w:cs="Arial"/>
          <w:sz w:val="24"/>
          <w:szCs w:val="24"/>
        </w:rPr>
        <w:t xml:space="preserve">, </w:t>
      </w:r>
      <w:r w:rsidR="00D0463D" w:rsidRPr="00FF6FF2">
        <w:rPr>
          <w:rFonts w:ascii="Arial" w:hAnsi="Arial" w:cs="Arial"/>
          <w:b/>
          <w:bCs/>
          <w:sz w:val="24"/>
          <w:szCs w:val="24"/>
        </w:rPr>
        <w:t>Sequential Approach Justification Test:</w:t>
      </w:r>
      <w:r w:rsidR="00FF6FF2">
        <w:rPr>
          <w:rFonts w:ascii="Arial" w:hAnsi="Arial" w:cs="Arial"/>
          <w:sz w:val="24"/>
          <w:szCs w:val="24"/>
        </w:rPr>
        <w:t xml:space="preserve">  KCDP 11-71 – 11-75</w:t>
      </w:r>
      <w:r w:rsidR="00152FC5">
        <w:rPr>
          <w:rFonts w:ascii="Arial" w:hAnsi="Arial" w:cs="Arial"/>
          <w:sz w:val="24"/>
          <w:szCs w:val="24"/>
        </w:rPr>
        <w:t xml:space="preserve">, </w:t>
      </w:r>
      <w:r w:rsidR="00D7196E" w:rsidRPr="006A1AA4">
        <w:rPr>
          <w:rFonts w:ascii="Arial" w:hAnsi="Arial" w:cs="Arial"/>
          <w:b/>
          <w:bCs/>
          <w:sz w:val="24"/>
          <w:szCs w:val="24"/>
        </w:rPr>
        <w:t>Views and Prospects</w:t>
      </w:r>
      <w:r w:rsidR="00D7196E">
        <w:rPr>
          <w:rFonts w:ascii="Arial" w:hAnsi="Arial" w:cs="Arial"/>
          <w:sz w:val="24"/>
          <w:szCs w:val="24"/>
        </w:rPr>
        <w:t>:  11</w:t>
      </w:r>
      <w:r w:rsidR="006A1AA4">
        <w:rPr>
          <w:rFonts w:ascii="Arial" w:hAnsi="Arial" w:cs="Arial"/>
          <w:sz w:val="24"/>
          <w:szCs w:val="24"/>
        </w:rPr>
        <w:t>-79 – 11-81</w:t>
      </w:r>
    </w:p>
    <w:p w14:paraId="209E2A9B" w14:textId="477F5523" w:rsidR="00080147" w:rsidRPr="00C440A9" w:rsidRDefault="000913B8" w:rsidP="00C6208E">
      <w:pPr>
        <w:pStyle w:val="NoSpacing"/>
        <w:numPr>
          <w:ilvl w:val="0"/>
          <w:numId w:val="28"/>
        </w:numPr>
        <w:jc w:val="both"/>
        <w:rPr>
          <w:rFonts w:ascii="Arial" w:hAnsi="Arial" w:cs="Arial"/>
          <w:b/>
          <w:bCs/>
          <w:sz w:val="24"/>
          <w:szCs w:val="24"/>
        </w:rPr>
      </w:pPr>
      <w:r w:rsidRPr="00166D30">
        <w:rPr>
          <w:rFonts w:ascii="Arial" w:hAnsi="Arial" w:cs="Arial"/>
          <w:b/>
          <w:bCs/>
          <w:sz w:val="24"/>
          <w:szCs w:val="24"/>
        </w:rPr>
        <w:t>Chapter 13 - Water Supply</w:t>
      </w:r>
      <w:r w:rsidRPr="00166D30">
        <w:rPr>
          <w:rFonts w:ascii="Arial" w:hAnsi="Arial" w:cs="Arial"/>
          <w:sz w:val="24"/>
          <w:szCs w:val="24"/>
        </w:rPr>
        <w:t>: KCDP 13-1 – 13-11</w:t>
      </w:r>
      <w:r w:rsidR="00152FC5">
        <w:rPr>
          <w:rFonts w:ascii="Arial" w:hAnsi="Arial" w:cs="Arial"/>
          <w:sz w:val="24"/>
          <w:szCs w:val="24"/>
        </w:rPr>
        <w:t xml:space="preserve">, </w:t>
      </w:r>
      <w:r w:rsidR="00166D30" w:rsidRPr="00166D30">
        <w:rPr>
          <w:rFonts w:ascii="Arial" w:hAnsi="Arial" w:cs="Arial"/>
          <w:b/>
          <w:bCs/>
          <w:sz w:val="24"/>
          <w:szCs w:val="24"/>
        </w:rPr>
        <w:t>Wastewater:</w:t>
      </w:r>
      <w:r w:rsidR="00166D30">
        <w:rPr>
          <w:rFonts w:ascii="Arial" w:hAnsi="Arial" w:cs="Arial"/>
          <w:b/>
          <w:bCs/>
          <w:sz w:val="24"/>
          <w:szCs w:val="24"/>
        </w:rPr>
        <w:t xml:space="preserve">  </w:t>
      </w:r>
      <w:r w:rsidR="00166D30" w:rsidRPr="00262384">
        <w:rPr>
          <w:rFonts w:ascii="Arial" w:hAnsi="Arial" w:cs="Arial"/>
          <w:sz w:val="24"/>
          <w:szCs w:val="24"/>
        </w:rPr>
        <w:t>KCDP 13-15 – 13-16</w:t>
      </w:r>
      <w:r w:rsidR="00C440A9">
        <w:rPr>
          <w:rFonts w:ascii="Arial" w:hAnsi="Arial" w:cs="Arial"/>
          <w:sz w:val="24"/>
          <w:szCs w:val="24"/>
        </w:rPr>
        <w:t xml:space="preserve">, </w:t>
      </w:r>
      <w:r w:rsidR="00021088">
        <w:rPr>
          <w:rFonts w:ascii="Arial" w:hAnsi="Arial" w:cs="Arial"/>
          <w:b/>
          <w:bCs/>
          <w:sz w:val="24"/>
          <w:szCs w:val="24"/>
        </w:rPr>
        <w:t xml:space="preserve">Storm Water Management:  </w:t>
      </w:r>
      <w:r w:rsidR="00021088" w:rsidRPr="00772EB9">
        <w:rPr>
          <w:rFonts w:ascii="Arial" w:hAnsi="Arial" w:cs="Arial"/>
          <w:sz w:val="24"/>
          <w:szCs w:val="24"/>
        </w:rPr>
        <w:t>KCDP 13-21 – 13-</w:t>
      </w:r>
      <w:r w:rsidR="00772EB9" w:rsidRPr="00772EB9">
        <w:rPr>
          <w:rFonts w:ascii="Arial" w:hAnsi="Arial" w:cs="Arial"/>
          <w:sz w:val="24"/>
          <w:szCs w:val="24"/>
        </w:rPr>
        <w:t>26</w:t>
      </w:r>
      <w:r w:rsidR="00C440A9">
        <w:rPr>
          <w:rFonts w:ascii="Arial" w:hAnsi="Arial" w:cs="Arial"/>
          <w:b/>
          <w:bCs/>
          <w:sz w:val="24"/>
          <w:szCs w:val="24"/>
        </w:rPr>
        <w:t xml:space="preserve">, </w:t>
      </w:r>
      <w:r w:rsidR="00772EB9" w:rsidRPr="00F87EBB">
        <w:rPr>
          <w:rFonts w:ascii="Arial" w:hAnsi="Arial" w:cs="Arial"/>
          <w:b/>
          <w:bCs/>
          <w:sz w:val="24"/>
          <w:szCs w:val="24"/>
        </w:rPr>
        <w:t>Waste Management</w:t>
      </w:r>
      <w:r w:rsidR="00934C38" w:rsidRPr="00F87EBB">
        <w:rPr>
          <w:rFonts w:ascii="Arial" w:hAnsi="Arial" w:cs="Arial"/>
          <w:b/>
          <w:bCs/>
          <w:sz w:val="24"/>
          <w:szCs w:val="24"/>
        </w:rPr>
        <w:t>:</w:t>
      </w:r>
      <w:r w:rsidR="00772EB9" w:rsidRPr="00F87EBB">
        <w:rPr>
          <w:rFonts w:ascii="Arial" w:hAnsi="Arial" w:cs="Arial"/>
          <w:b/>
          <w:bCs/>
          <w:sz w:val="24"/>
          <w:szCs w:val="24"/>
        </w:rPr>
        <w:t xml:space="preserve"> </w:t>
      </w:r>
      <w:r w:rsidR="00772EB9" w:rsidRPr="00F87EBB">
        <w:rPr>
          <w:rFonts w:ascii="Arial" w:hAnsi="Arial" w:cs="Arial"/>
          <w:sz w:val="24"/>
          <w:szCs w:val="24"/>
        </w:rPr>
        <w:t xml:space="preserve">KCDP 13-27 </w:t>
      </w:r>
      <w:r w:rsidR="00934C38" w:rsidRPr="00F87EBB">
        <w:rPr>
          <w:rFonts w:ascii="Arial" w:hAnsi="Arial" w:cs="Arial"/>
          <w:sz w:val="24"/>
          <w:szCs w:val="24"/>
        </w:rPr>
        <w:t>–</w:t>
      </w:r>
      <w:r w:rsidR="00772EB9" w:rsidRPr="00F87EBB">
        <w:rPr>
          <w:rFonts w:ascii="Arial" w:hAnsi="Arial" w:cs="Arial"/>
          <w:sz w:val="24"/>
          <w:szCs w:val="24"/>
        </w:rPr>
        <w:t xml:space="preserve"> </w:t>
      </w:r>
      <w:r w:rsidR="00934C38" w:rsidRPr="00F87EBB">
        <w:rPr>
          <w:rFonts w:ascii="Arial" w:hAnsi="Arial" w:cs="Arial"/>
          <w:sz w:val="24"/>
          <w:szCs w:val="24"/>
        </w:rPr>
        <w:t>13-28</w:t>
      </w:r>
      <w:r w:rsidR="00C440A9">
        <w:rPr>
          <w:rFonts w:ascii="Arial" w:hAnsi="Arial" w:cs="Arial"/>
          <w:b/>
          <w:bCs/>
          <w:sz w:val="24"/>
          <w:szCs w:val="24"/>
        </w:rPr>
        <w:t xml:space="preserve">, </w:t>
      </w:r>
      <w:r w:rsidR="00F87EBB">
        <w:rPr>
          <w:rFonts w:ascii="Arial" w:hAnsi="Arial" w:cs="Arial"/>
          <w:b/>
          <w:bCs/>
          <w:sz w:val="24"/>
          <w:szCs w:val="24"/>
        </w:rPr>
        <w:t xml:space="preserve">Circular Economy: </w:t>
      </w:r>
      <w:r w:rsidR="00F87EBB" w:rsidRPr="003231E5">
        <w:rPr>
          <w:rFonts w:ascii="Arial" w:hAnsi="Arial" w:cs="Arial"/>
          <w:sz w:val="24"/>
          <w:szCs w:val="24"/>
        </w:rPr>
        <w:t xml:space="preserve">KCDP </w:t>
      </w:r>
      <w:r w:rsidR="003231E5" w:rsidRPr="003231E5">
        <w:rPr>
          <w:rFonts w:ascii="Arial" w:hAnsi="Arial" w:cs="Arial"/>
          <w:sz w:val="24"/>
          <w:szCs w:val="24"/>
        </w:rPr>
        <w:t>13-38 – 13-41</w:t>
      </w:r>
      <w:r w:rsidR="00F87EBB">
        <w:rPr>
          <w:rFonts w:ascii="Arial" w:hAnsi="Arial" w:cs="Arial"/>
          <w:sz w:val="24"/>
          <w:szCs w:val="24"/>
        </w:rPr>
        <w:t xml:space="preserve"> </w:t>
      </w:r>
    </w:p>
    <w:p w14:paraId="2651C8EC" w14:textId="2C91E23D" w:rsidR="006E4BFD" w:rsidRDefault="00306FE9" w:rsidP="00C6208E">
      <w:pPr>
        <w:pStyle w:val="NoSpacing"/>
        <w:numPr>
          <w:ilvl w:val="0"/>
          <w:numId w:val="28"/>
        </w:numPr>
        <w:jc w:val="both"/>
        <w:rPr>
          <w:rFonts w:ascii="Arial" w:hAnsi="Arial" w:cs="Arial"/>
          <w:sz w:val="24"/>
          <w:szCs w:val="24"/>
        </w:rPr>
      </w:pPr>
      <w:r w:rsidRPr="00306FE9">
        <w:rPr>
          <w:rFonts w:ascii="Arial" w:hAnsi="Arial" w:cs="Arial"/>
          <w:b/>
          <w:bCs/>
          <w:sz w:val="24"/>
          <w:szCs w:val="24"/>
        </w:rPr>
        <w:t>Chapter 14 - Road Network</w:t>
      </w:r>
      <w:r w:rsidR="00460C9C" w:rsidRPr="00306FE9">
        <w:rPr>
          <w:rFonts w:ascii="Arial" w:hAnsi="Arial" w:cs="Arial"/>
          <w:sz w:val="24"/>
          <w:szCs w:val="24"/>
        </w:rPr>
        <w:t xml:space="preserve">:  </w:t>
      </w:r>
      <w:r w:rsidRPr="00306FE9">
        <w:rPr>
          <w:rFonts w:ascii="Arial" w:hAnsi="Arial" w:cs="Arial"/>
          <w:sz w:val="24"/>
          <w:szCs w:val="24"/>
        </w:rPr>
        <w:t>KCDP 14-25 – 14-28</w:t>
      </w:r>
      <w:r w:rsidR="00A30A03">
        <w:rPr>
          <w:rFonts w:ascii="Arial" w:hAnsi="Arial" w:cs="Arial"/>
          <w:b/>
          <w:bCs/>
          <w:sz w:val="24"/>
          <w:szCs w:val="24"/>
        </w:rPr>
        <w:t>,</w:t>
      </w:r>
      <w:r w:rsidR="00D3245C" w:rsidRPr="009032AB">
        <w:rPr>
          <w:rFonts w:ascii="Arial" w:hAnsi="Arial" w:cs="Arial"/>
          <w:b/>
          <w:bCs/>
          <w:sz w:val="24"/>
          <w:szCs w:val="24"/>
        </w:rPr>
        <w:t xml:space="preserve"> National Primary </w:t>
      </w:r>
      <w:r w:rsidR="00A34CE0">
        <w:rPr>
          <w:rFonts w:ascii="Arial" w:hAnsi="Arial" w:cs="Arial"/>
          <w:b/>
          <w:bCs/>
          <w:sz w:val="24"/>
          <w:szCs w:val="24"/>
        </w:rPr>
        <w:t>&amp;</w:t>
      </w:r>
      <w:r w:rsidR="00D3245C" w:rsidRPr="009032AB">
        <w:rPr>
          <w:rFonts w:ascii="Arial" w:hAnsi="Arial" w:cs="Arial"/>
          <w:b/>
          <w:bCs/>
          <w:sz w:val="24"/>
          <w:szCs w:val="24"/>
        </w:rPr>
        <w:t xml:space="preserve"> Secondary Routes</w:t>
      </w:r>
      <w:r w:rsidR="00A34CE0">
        <w:rPr>
          <w:rFonts w:ascii="Arial" w:hAnsi="Arial" w:cs="Arial"/>
          <w:sz w:val="24"/>
          <w:szCs w:val="24"/>
        </w:rPr>
        <w:t>:</w:t>
      </w:r>
      <w:r w:rsidR="00D3245C">
        <w:rPr>
          <w:rFonts w:ascii="Arial" w:hAnsi="Arial" w:cs="Arial"/>
          <w:sz w:val="24"/>
          <w:szCs w:val="24"/>
        </w:rPr>
        <w:t xml:space="preserve"> </w:t>
      </w:r>
      <w:r w:rsidR="009032AB">
        <w:rPr>
          <w:rFonts w:ascii="Arial" w:hAnsi="Arial" w:cs="Arial"/>
          <w:sz w:val="24"/>
          <w:szCs w:val="24"/>
        </w:rPr>
        <w:t>KCDP 14-29 – 14-33</w:t>
      </w:r>
      <w:r w:rsidR="00A30A03">
        <w:rPr>
          <w:rFonts w:ascii="Arial" w:hAnsi="Arial" w:cs="Arial"/>
          <w:sz w:val="24"/>
          <w:szCs w:val="24"/>
        </w:rPr>
        <w:t xml:space="preserve">, </w:t>
      </w:r>
      <w:r w:rsidR="006E4BFD">
        <w:rPr>
          <w:rFonts w:ascii="Arial" w:hAnsi="Arial" w:cs="Arial"/>
          <w:b/>
          <w:bCs/>
          <w:sz w:val="24"/>
          <w:szCs w:val="24"/>
        </w:rPr>
        <w:t xml:space="preserve">Chapter 14 </w:t>
      </w:r>
      <w:r w:rsidR="00A279F4">
        <w:rPr>
          <w:rFonts w:ascii="Arial" w:hAnsi="Arial" w:cs="Arial"/>
          <w:sz w:val="24"/>
          <w:szCs w:val="24"/>
        </w:rPr>
        <w:t>-</w:t>
      </w:r>
      <w:r w:rsidR="006E4BFD">
        <w:rPr>
          <w:rFonts w:ascii="Arial" w:hAnsi="Arial" w:cs="Arial"/>
          <w:sz w:val="24"/>
          <w:szCs w:val="24"/>
        </w:rPr>
        <w:t xml:space="preserve"> </w:t>
      </w:r>
      <w:r w:rsidR="006E4BFD" w:rsidRPr="00C73AF9">
        <w:rPr>
          <w:rFonts w:ascii="Arial" w:hAnsi="Arial" w:cs="Arial"/>
          <w:b/>
          <w:bCs/>
          <w:sz w:val="24"/>
          <w:szCs w:val="24"/>
        </w:rPr>
        <w:t>Ports, Harbours &amp; Piers</w:t>
      </w:r>
      <w:r w:rsidR="00A34CE0">
        <w:rPr>
          <w:rFonts w:ascii="Arial" w:hAnsi="Arial" w:cs="Arial"/>
          <w:sz w:val="24"/>
          <w:szCs w:val="24"/>
        </w:rPr>
        <w:t>:</w:t>
      </w:r>
      <w:r w:rsidR="00C73AF9">
        <w:rPr>
          <w:rFonts w:ascii="Arial" w:hAnsi="Arial" w:cs="Arial"/>
          <w:sz w:val="24"/>
          <w:szCs w:val="24"/>
        </w:rPr>
        <w:t xml:space="preserve"> KCDP 14-59 – 14-68</w:t>
      </w:r>
    </w:p>
    <w:p w14:paraId="3B668B4B" w14:textId="77777777" w:rsidR="006C22A2" w:rsidRDefault="006C22A2" w:rsidP="006C22A2">
      <w:pPr>
        <w:pStyle w:val="NoSpacing"/>
        <w:jc w:val="both"/>
        <w:rPr>
          <w:rFonts w:ascii="Arial" w:hAnsi="Arial" w:cs="Arial"/>
          <w:sz w:val="24"/>
          <w:szCs w:val="24"/>
        </w:rPr>
      </w:pPr>
    </w:p>
    <w:p w14:paraId="11CD0DA5" w14:textId="77777777" w:rsidR="006C22A2" w:rsidRDefault="006C22A2" w:rsidP="006C22A2">
      <w:pPr>
        <w:pStyle w:val="NoSpacing"/>
        <w:jc w:val="both"/>
        <w:rPr>
          <w:rFonts w:ascii="Arial" w:hAnsi="Arial" w:cs="Arial"/>
          <w:sz w:val="24"/>
          <w:szCs w:val="24"/>
        </w:rPr>
      </w:pPr>
    </w:p>
    <w:p w14:paraId="4A585C54" w14:textId="77777777" w:rsidR="00744777" w:rsidRPr="00A06BFF" w:rsidRDefault="00744777" w:rsidP="00744777">
      <w:pPr>
        <w:pStyle w:val="CBody2"/>
        <w:rPr>
          <w:b/>
          <w:bCs/>
        </w:rPr>
      </w:pPr>
      <w:r w:rsidRPr="00A06BFF">
        <w:rPr>
          <w:b/>
          <w:bCs/>
        </w:rPr>
        <w:t xml:space="preserve">Listowel Municipal District Local Area Plan 2020 – 2026 </w:t>
      </w:r>
    </w:p>
    <w:p w14:paraId="207BF11F" w14:textId="59CE02C3" w:rsidR="0061526E" w:rsidRDefault="00744777" w:rsidP="005C7DB4">
      <w:pPr>
        <w:pStyle w:val="CBody2"/>
        <w:numPr>
          <w:ilvl w:val="0"/>
          <w:numId w:val="0"/>
        </w:numPr>
        <w:jc w:val="both"/>
      </w:pPr>
      <w:r w:rsidRPr="005C7DB4">
        <w:rPr>
          <w:b/>
          <w:bCs/>
        </w:rPr>
        <w:t>Strategic Objective OS-08</w:t>
      </w:r>
      <w:r>
        <w:t xml:space="preserve"> supports the sustainable development of the land zoned within the Tarbert / Ballylongford area in accordance with the Strategic Integrated </w:t>
      </w:r>
      <w:r>
        <w:lastRenderedPageBreak/>
        <w:t>Framework Plan and County Development Plan.</w:t>
      </w:r>
      <w:r w:rsidR="009A322F">
        <w:t xml:space="preserve"> </w:t>
      </w:r>
      <w:r>
        <w:t xml:space="preserve"> The site lies outside the settlement boundary of Tarbert.</w:t>
      </w:r>
    </w:p>
    <w:p w14:paraId="24FC3C0C" w14:textId="77777777" w:rsidR="00565233" w:rsidRPr="00D45F1B" w:rsidRDefault="00565233" w:rsidP="00565233">
      <w:pPr>
        <w:pStyle w:val="CBody2"/>
        <w:jc w:val="both"/>
        <w:rPr>
          <w:b/>
          <w:bCs/>
        </w:rPr>
      </w:pPr>
      <w:bookmarkStart w:id="13" w:name="_Toc157634105"/>
      <w:bookmarkStart w:id="14" w:name="_Toc158156160"/>
      <w:bookmarkStart w:id="15" w:name="_Toc158202915"/>
      <w:r w:rsidRPr="00D45F1B">
        <w:rPr>
          <w:b/>
          <w:bCs/>
        </w:rPr>
        <w:t>Kerry County Council Climate Change Adaptation Strategy 2019-2024</w:t>
      </w:r>
    </w:p>
    <w:p w14:paraId="7B985559" w14:textId="594AC5D0" w:rsidR="00565233" w:rsidRPr="00D45F1B" w:rsidRDefault="00565233" w:rsidP="00565233">
      <w:pPr>
        <w:pStyle w:val="CBody2"/>
        <w:numPr>
          <w:ilvl w:val="0"/>
          <w:numId w:val="0"/>
        </w:numPr>
        <w:jc w:val="both"/>
      </w:pPr>
      <w:r w:rsidRPr="00D45F1B">
        <w:t xml:space="preserve">The strategy sets out a framework of actions and measures that Kerry County Council proposes to undertake to further embed climate adaptation into </w:t>
      </w:r>
      <w:proofErr w:type="gramStart"/>
      <w:r w:rsidRPr="00D45F1B">
        <w:t>all of</w:t>
      </w:r>
      <w:proofErr w:type="gramEnd"/>
      <w:r w:rsidRPr="00D45F1B">
        <w:t xml:space="preserve"> the local authority’s areas of responsibility and to assist communities in adapting to climate change. </w:t>
      </w:r>
    </w:p>
    <w:p w14:paraId="2B9451A4" w14:textId="34A5A03A" w:rsidR="00460C9C" w:rsidRDefault="00460C9C" w:rsidP="00565233">
      <w:pPr>
        <w:pStyle w:val="Heading2"/>
        <w:jc w:val="both"/>
      </w:pPr>
      <w:r>
        <w:t>Renewable Energy Policy Context (European</w:t>
      </w:r>
      <w:r w:rsidR="00A96BB6">
        <w:t xml:space="preserve"> &amp;</w:t>
      </w:r>
      <w:r>
        <w:t xml:space="preserve"> National</w:t>
      </w:r>
      <w:bookmarkEnd w:id="13"/>
      <w:bookmarkEnd w:id="14"/>
      <w:bookmarkEnd w:id="15"/>
      <w:r w:rsidR="00A96BB6">
        <w:t>)</w:t>
      </w:r>
    </w:p>
    <w:p w14:paraId="740CD0C0" w14:textId="42C83EA7" w:rsidR="00460C9C" w:rsidRDefault="00460C9C" w:rsidP="00F938E5">
      <w:pPr>
        <w:pStyle w:val="Heading3"/>
        <w:jc w:val="both"/>
      </w:pPr>
      <w:bookmarkStart w:id="16" w:name="_Toc158156161"/>
      <w:r>
        <w:t>RED III (European Renewable Energy Directive (EU/2023/2413))</w:t>
      </w:r>
      <w:bookmarkEnd w:id="16"/>
    </w:p>
    <w:p w14:paraId="2AB13D3A" w14:textId="77777777" w:rsidR="00460C9C" w:rsidRPr="00BE3B0F" w:rsidRDefault="00460C9C" w:rsidP="00F938E5">
      <w:pPr>
        <w:pStyle w:val="CBody2"/>
        <w:numPr>
          <w:ilvl w:val="0"/>
          <w:numId w:val="0"/>
        </w:numPr>
        <w:jc w:val="both"/>
        <w:rPr>
          <w:i/>
          <w:iCs/>
        </w:rPr>
      </w:pPr>
      <w:r w:rsidRPr="00416939">
        <w:t>The revised Directive EU/2023/2413 came into force on 20</w:t>
      </w:r>
      <w:r w:rsidRPr="00416939">
        <w:rPr>
          <w:vertAlign w:val="superscript"/>
        </w:rPr>
        <w:t>th</w:t>
      </w:r>
      <w:r w:rsidRPr="00416939">
        <w:t xml:space="preserve"> November 2023.  RED III</w:t>
      </w:r>
      <w:r>
        <w:t xml:space="preserve"> sets an overall renewable energy target of at least 42.5% binding at EU level by 2030, but it is aiming for 45%.  This target is raised from the previous 32% target.  It means almost doubling the existing share of renewable energy in the EU.  The Directive under Section 38 states in relation to Power </w:t>
      </w:r>
      <w:proofErr w:type="gramStart"/>
      <w:r>
        <w:t>Plants;</w:t>
      </w:r>
      <w:proofErr w:type="gramEnd"/>
    </w:p>
    <w:p w14:paraId="6C86AE10" w14:textId="77777777" w:rsidR="00460C9C" w:rsidRPr="004E2A81" w:rsidRDefault="00460C9C" w:rsidP="00F938E5">
      <w:pPr>
        <w:pStyle w:val="CBody2"/>
        <w:numPr>
          <w:ilvl w:val="0"/>
          <w:numId w:val="0"/>
        </w:numPr>
        <w:ind w:left="720"/>
        <w:jc w:val="both"/>
        <w:rPr>
          <w:i/>
          <w:iCs/>
        </w:rPr>
      </w:pPr>
      <w:r w:rsidRPr="004E2A81">
        <w:rPr>
          <w:i/>
          <w:iCs/>
        </w:rPr>
        <w:t>‘(38) In addition to installing new renewable energy plants, repowering of existing renewable energy power plants has significant potential to contribute to the achievement of the renewable energy targets. Since the existing renewable energy power plants have, for the most part, been installed in sites with significant renewable energy source potential, repowering can ensure the continued use of those sites while reducing the need to designate new sites for renewable energy projects. Repowering includes further benefits such as the existing grid connection, a likely higher degree of public acceptance and knowledge of the environmental impact.’</w:t>
      </w:r>
    </w:p>
    <w:p w14:paraId="05D08D68" w14:textId="5A59EDA5" w:rsidR="00460C9C" w:rsidRPr="00D51CE3" w:rsidRDefault="00460C9C" w:rsidP="00F938E5">
      <w:pPr>
        <w:pStyle w:val="Heading3"/>
        <w:jc w:val="both"/>
      </w:pPr>
      <w:bookmarkStart w:id="17" w:name="_Toc158156162"/>
      <w:r w:rsidRPr="00D51CE3">
        <w:t xml:space="preserve">REPowerEU Plan 2022 and Directive EU 2018/2001, as amended </w:t>
      </w:r>
      <w:proofErr w:type="gramStart"/>
      <w:r w:rsidRPr="00D51CE3">
        <w:t>18.05.2022</w:t>
      </w:r>
      <w:bookmarkEnd w:id="17"/>
      <w:proofErr w:type="gramEnd"/>
    </w:p>
    <w:p w14:paraId="2CCD9058" w14:textId="77777777" w:rsidR="00460C9C" w:rsidRPr="00D51CE3" w:rsidRDefault="00460C9C" w:rsidP="00F938E5">
      <w:pPr>
        <w:pStyle w:val="CBody2"/>
        <w:numPr>
          <w:ilvl w:val="0"/>
          <w:numId w:val="0"/>
        </w:numPr>
        <w:jc w:val="both"/>
      </w:pPr>
      <w:r w:rsidRPr="00D51CE3">
        <w:t xml:space="preserve">This plan was prepared in response to the Russian invasion of Ukraine. It </w:t>
      </w:r>
      <w:r>
        <w:t xml:space="preserve">focuses on the </w:t>
      </w:r>
      <w:r w:rsidRPr="00D51CE3">
        <w:t xml:space="preserve">need to end the EU’s dependence on Russian fossil fuels and to tackle </w:t>
      </w:r>
      <w:r>
        <w:t xml:space="preserve">the </w:t>
      </w:r>
      <w:r w:rsidRPr="00D51CE3">
        <w:t xml:space="preserve">climate crisis. It includes the accelerated rollout of renewable energy. </w:t>
      </w:r>
      <w:r>
        <w:t xml:space="preserve"> </w:t>
      </w:r>
      <w:r w:rsidRPr="00D51CE3">
        <w:t xml:space="preserve">It amends the Directive on the Promotion of the Use of Energy from Renewable Sources (Directive EU 2018/2001) to require that 45% of energy is from renewable sources. </w:t>
      </w:r>
    </w:p>
    <w:p w14:paraId="65275755" w14:textId="77777777" w:rsidR="00460C9C" w:rsidRPr="00D51CE3" w:rsidRDefault="00460C9C" w:rsidP="00F938E5">
      <w:pPr>
        <w:pStyle w:val="CBody2"/>
        <w:numPr>
          <w:ilvl w:val="0"/>
          <w:numId w:val="0"/>
        </w:numPr>
        <w:jc w:val="both"/>
      </w:pPr>
      <w:r w:rsidRPr="00D51CE3">
        <w:lastRenderedPageBreak/>
        <w:t xml:space="preserve">Article 1(10) inserts a new Article 16d to ensure that plants </w:t>
      </w:r>
      <w:proofErr w:type="gramStart"/>
      <w:r w:rsidRPr="00D51CE3">
        <w:t>for the production of</w:t>
      </w:r>
      <w:proofErr w:type="gramEnd"/>
      <w:r w:rsidRPr="00D51CE3">
        <w:t xml:space="preserve"> energy from renewable sources, their connection to the grid, the related grid itself or storage assets are presumed to be of overriding public interest for specific purposes.</w:t>
      </w:r>
    </w:p>
    <w:p w14:paraId="5AE25DF3" w14:textId="2D540C73" w:rsidR="00460C9C" w:rsidRPr="00EC293E" w:rsidRDefault="00460C9C" w:rsidP="00F938E5">
      <w:pPr>
        <w:pStyle w:val="Heading3"/>
        <w:jc w:val="both"/>
      </w:pPr>
      <w:bookmarkStart w:id="18" w:name="_Toc158156163"/>
      <w:r w:rsidRPr="00EC293E">
        <w:t>European Green Deal 2020</w:t>
      </w:r>
      <w:bookmarkEnd w:id="18"/>
      <w:r w:rsidRPr="00EC293E">
        <w:t xml:space="preserve"> </w:t>
      </w:r>
    </w:p>
    <w:p w14:paraId="393B2685" w14:textId="77777777" w:rsidR="00460C9C" w:rsidRDefault="00460C9C" w:rsidP="00F938E5">
      <w:pPr>
        <w:pStyle w:val="CBody2"/>
        <w:numPr>
          <w:ilvl w:val="0"/>
          <w:numId w:val="0"/>
        </w:numPr>
        <w:jc w:val="both"/>
      </w:pPr>
      <w:r w:rsidRPr="00D51CE3">
        <w:t xml:space="preserve">The aim of this policy is to make Europe climate neutral by 2050. </w:t>
      </w:r>
      <w:r>
        <w:t xml:space="preserve"> </w:t>
      </w:r>
      <w:r w:rsidRPr="00D51CE3">
        <w:t>In 2021, the European Climate Law made greenhouse gas emission targets a legal obligation.</w:t>
      </w:r>
      <w:r>
        <w:t xml:space="preserve">  </w:t>
      </w:r>
      <w:r w:rsidRPr="00D51CE3">
        <w:t>These</w:t>
      </w:r>
      <w:r>
        <w:t xml:space="preserve"> targets</w:t>
      </w:r>
      <w:r w:rsidRPr="00D51CE3">
        <w:t xml:space="preserve"> were increased from 40% to 55% by 2030. </w:t>
      </w:r>
    </w:p>
    <w:p w14:paraId="2D417DBB" w14:textId="2E099791" w:rsidR="00460C9C" w:rsidRPr="00C45165" w:rsidRDefault="00460C9C" w:rsidP="00F938E5">
      <w:pPr>
        <w:pStyle w:val="Heading3"/>
        <w:jc w:val="both"/>
      </w:pPr>
      <w:bookmarkStart w:id="19" w:name="_Toc158156164"/>
      <w:bookmarkStart w:id="20" w:name="_Hlk151997374"/>
      <w:r w:rsidRPr="00C45165">
        <w:t>National Planning Framework 2018-2040 (NPF)</w:t>
      </w:r>
      <w:bookmarkEnd w:id="19"/>
    </w:p>
    <w:bookmarkEnd w:id="20"/>
    <w:p w14:paraId="4481385D" w14:textId="77777777" w:rsidR="00460C9C" w:rsidRPr="00D51CE3" w:rsidRDefault="00460C9C" w:rsidP="00F938E5">
      <w:pPr>
        <w:pStyle w:val="CBody2"/>
        <w:numPr>
          <w:ilvl w:val="0"/>
          <w:numId w:val="0"/>
        </w:numPr>
        <w:jc w:val="both"/>
      </w:pPr>
      <w:r w:rsidRPr="00D51CE3">
        <w:t>National Strategic Outcome</w:t>
      </w:r>
      <w:r>
        <w:t xml:space="preserve"> (NSO)</w:t>
      </w:r>
      <w:r w:rsidRPr="00D51CE3">
        <w:t xml:space="preserve"> 8 is to transition Ireland to a low carbon and climate resilient society. </w:t>
      </w:r>
      <w:r>
        <w:t xml:space="preserve"> NSO</w:t>
      </w:r>
      <w:r w:rsidRPr="00D51CE3">
        <w:t xml:space="preserve"> 9 is the sustainable management of water</w:t>
      </w:r>
      <w:r>
        <w:t xml:space="preserve">, </w:t>
      </w:r>
      <w:proofErr w:type="gramStart"/>
      <w:r>
        <w:t>waste</w:t>
      </w:r>
      <w:proofErr w:type="gramEnd"/>
      <w:r>
        <w:t xml:space="preserve"> and other environmental resources, NSO </w:t>
      </w:r>
      <w:r w:rsidRPr="00D51CE3">
        <w:t xml:space="preserve">54 </w:t>
      </w:r>
      <w:r>
        <w:t xml:space="preserve">&amp; 55- </w:t>
      </w:r>
      <w:r w:rsidRPr="00D51CE3">
        <w:t>to reduce our carbon footprint by integrating climate action into the planning systems</w:t>
      </w:r>
      <w:r>
        <w:t xml:space="preserve"> &amp; </w:t>
      </w:r>
      <w:r w:rsidRPr="00D51CE3">
        <w:t>promotes the use of renewable energy</w:t>
      </w:r>
      <w:r>
        <w:t>, NSO</w:t>
      </w:r>
      <w:r w:rsidRPr="00D51CE3">
        <w:t xml:space="preserve"> 57 </w:t>
      </w:r>
      <w:r>
        <w:t>- consideration of</w:t>
      </w:r>
      <w:r w:rsidRPr="00D51CE3">
        <w:t xml:space="preserve"> River Basin Management Plan Objectives</w:t>
      </w:r>
      <w:r>
        <w:t>.</w:t>
      </w:r>
      <w:r w:rsidRPr="00D51CE3">
        <w:t xml:space="preserve"> </w:t>
      </w:r>
    </w:p>
    <w:p w14:paraId="2C5C21ED" w14:textId="5827E991" w:rsidR="00460C9C" w:rsidRPr="00C45165" w:rsidRDefault="00460C9C" w:rsidP="00F938E5">
      <w:pPr>
        <w:pStyle w:val="Heading3"/>
        <w:jc w:val="both"/>
      </w:pPr>
      <w:bookmarkStart w:id="21" w:name="_Toc158156165"/>
      <w:r w:rsidRPr="00C45165">
        <w:t>The National Development Plan 2021-2030</w:t>
      </w:r>
      <w:bookmarkEnd w:id="21"/>
      <w:r w:rsidRPr="00C45165">
        <w:t xml:space="preserve"> </w:t>
      </w:r>
    </w:p>
    <w:p w14:paraId="658E4847" w14:textId="77777777" w:rsidR="00460C9C" w:rsidRDefault="00460C9C" w:rsidP="00F938E5">
      <w:pPr>
        <w:pStyle w:val="CBody2"/>
        <w:numPr>
          <w:ilvl w:val="0"/>
          <w:numId w:val="0"/>
        </w:numPr>
        <w:jc w:val="both"/>
      </w:pPr>
      <w:r w:rsidRPr="00D51CE3">
        <w:t>It refers to an 80% target for renewable sources.</w:t>
      </w:r>
    </w:p>
    <w:p w14:paraId="1E77BB10" w14:textId="325DC0C4" w:rsidR="00460C9C" w:rsidRPr="00191660" w:rsidRDefault="00460C9C" w:rsidP="00F938E5">
      <w:pPr>
        <w:pStyle w:val="Heading3"/>
        <w:jc w:val="both"/>
      </w:pPr>
      <w:bookmarkStart w:id="22" w:name="_Toc158156166"/>
      <w:r w:rsidRPr="00191660">
        <w:t>Climate Action and Low Carbon Development (Amendment) Act 2021</w:t>
      </w:r>
      <w:bookmarkEnd w:id="22"/>
    </w:p>
    <w:p w14:paraId="6391A737" w14:textId="1E65D49A" w:rsidR="00A51709" w:rsidRDefault="00460C9C" w:rsidP="00F938E5">
      <w:pPr>
        <w:pStyle w:val="CBody2"/>
        <w:numPr>
          <w:ilvl w:val="0"/>
          <w:numId w:val="0"/>
        </w:numPr>
        <w:jc w:val="both"/>
      </w:pPr>
      <w:r>
        <w:t>The Act commits Ireland to the objective of becoming a carbon-neutral economy by 2050, reducing emissions by 51% by the end of the decade.</w:t>
      </w:r>
    </w:p>
    <w:p w14:paraId="07967FCD" w14:textId="47C63A67" w:rsidR="00460C9C" w:rsidRPr="00C45165" w:rsidRDefault="00460C9C" w:rsidP="00F938E5">
      <w:pPr>
        <w:pStyle w:val="Heading3"/>
        <w:jc w:val="both"/>
      </w:pPr>
      <w:bookmarkStart w:id="23" w:name="_Toc158156167"/>
      <w:r w:rsidRPr="00C45165">
        <w:t>Climate Action Plan 202</w:t>
      </w:r>
      <w:r>
        <w:t>4</w:t>
      </w:r>
      <w:r w:rsidRPr="00C45165">
        <w:t xml:space="preserve"> (CAP 202</w:t>
      </w:r>
      <w:r>
        <w:t>4</w:t>
      </w:r>
      <w:r w:rsidRPr="00C45165">
        <w:t>)</w:t>
      </w:r>
      <w:bookmarkEnd w:id="23"/>
    </w:p>
    <w:p w14:paraId="33B1A1D5" w14:textId="77777777" w:rsidR="00460C9C" w:rsidRDefault="00460C9C" w:rsidP="00F938E5">
      <w:pPr>
        <w:pStyle w:val="CBody2"/>
        <w:numPr>
          <w:ilvl w:val="0"/>
          <w:numId w:val="0"/>
        </w:numPr>
        <w:jc w:val="both"/>
      </w:pPr>
      <w:r>
        <w:t>CAP 2024 (</w:t>
      </w:r>
      <w:proofErr w:type="gramStart"/>
      <w:r>
        <w:t>Dec,</w:t>
      </w:r>
      <w:proofErr w:type="gramEnd"/>
      <w:r>
        <w:t xml:space="preserve"> 2023) sets out a roadmap to deliver on Irelands climate ambition, of 51% reduction in GHG emissions from 2021-2030 and net-zero emissions by 2050. The plan aligns with the legally binding economy-wide carbon budgets and sectoral ceilings that were agreed by Government in July 2022.</w:t>
      </w:r>
    </w:p>
    <w:p w14:paraId="76646D1C" w14:textId="31D49066" w:rsidR="00460C9C" w:rsidRDefault="00460C9C" w:rsidP="00F938E5">
      <w:pPr>
        <w:pStyle w:val="CBody2"/>
        <w:numPr>
          <w:ilvl w:val="0"/>
          <w:numId w:val="0"/>
        </w:numPr>
        <w:jc w:val="both"/>
      </w:pPr>
      <w:r>
        <w:t>The plan states that ‘</w:t>
      </w:r>
      <w:r w:rsidRPr="00D64452">
        <w:rPr>
          <w:i/>
          <w:iCs/>
        </w:rPr>
        <w:t xml:space="preserve">rapid delivery of flexible gas generation is needed at scale and in a timeframe to replace emissions from coal and oil generation as soon as possible to reduce impacts on the carbon budgets.  The introduction of renewable gas generation into the grid is an important factor of ensuring a security of supply for Ireland’s </w:t>
      </w:r>
      <w:r w:rsidRPr="00D64452">
        <w:rPr>
          <w:i/>
          <w:iCs/>
        </w:rPr>
        <w:lastRenderedPageBreak/>
        <w:t>electricity system.</w:t>
      </w:r>
      <w:r>
        <w:t xml:space="preserve">’  The Plan aims to accelerate grid flexibility and to deliver at least 2 GW of new flexible gas-fired power generation by 2030 and phase out and end the use of coal and peat in electricity generation. </w:t>
      </w:r>
    </w:p>
    <w:p w14:paraId="6B01C912" w14:textId="3C3BE86A" w:rsidR="00460C9C" w:rsidRPr="003178BE" w:rsidRDefault="00460C9C" w:rsidP="003178BE">
      <w:pPr>
        <w:pStyle w:val="CBody2"/>
        <w:jc w:val="both"/>
      </w:pPr>
      <w:bookmarkStart w:id="24" w:name="_Toc158156168"/>
      <w:r w:rsidRPr="005162CC">
        <w:rPr>
          <w:rStyle w:val="Heading3Char"/>
        </w:rPr>
        <w:t>Energy Security in Ireland to 2030, Energy Security Package, Nov. 2023</w:t>
      </w:r>
      <w:bookmarkEnd w:id="24"/>
      <w:r>
        <w:rPr>
          <w:b/>
          <w:bCs/>
        </w:rPr>
        <w:t xml:space="preserve">        </w:t>
      </w:r>
      <w:r w:rsidRPr="00D07A22">
        <w:t xml:space="preserve">The document confirms that Irelands future energy will be secured by moving to an </w:t>
      </w:r>
      <w:r w:rsidRPr="00EB11B2">
        <w:t>electricity-led system</w:t>
      </w:r>
      <w:r w:rsidRPr="00D07A22">
        <w:t xml:space="preserve"> maximising our renewable energy potential.</w:t>
      </w:r>
      <w:r>
        <w:t xml:space="preserve">  </w:t>
      </w:r>
    </w:p>
    <w:p w14:paraId="3E8B9C65" w14:textId="37430590" w:rsidR="00460C9C" w:rsidRPr="00165237" w:rsidRDefault="00460C9C" w:rsidP="00F938E5">
      <w:pPr>
        <w:pStyle w:val="Heading3"/>
        <w:jc w:val="both"/>
      </w:pPr>
      <w:bookmarkStart w:id="25" w:name="_Toc158156169"/>
      <w:r w:rsidRPr="00165237">
        <w:t>National Energy Security Framework, April 2022</w:t>
      </w:r>
      <w:bookmarkEnd w:id="25"/>
    </w:p>
    <w:p w14:paraId="0CFB950D" w14:textId="77777777" w:rsidR="00460C9C" w:rsidRDefault="00460C9C" w:rsidP="00F938E5">
      <w:pPr>
        <w:pStyle w:val="CBody2"/>
        <w:numPr>
          <w:ilvl w:val="0"/>
          <w:numId w:val="0"/>
        </w:numPr>
        <w:jc w:val="both"/>
      </w:pPr>
      <w:r>
        <w:t xml:space="preserve">This sets out the Governments response to the impacts of the war in Ukraine on the energy system in Ireland.  Para. 2.3.3 (Electricity) states that </w:t>
      </w:r>
    </w:p>
    <w:p w14:paraId="2A91DCB4" w14:textId="77777777" w:rsidR="00460C9C" w:rsidRDefault="00460C9C" w:rsidP="00F938E5">
      <w:pPr>
        <w:pStyle w:val="CBody2"/>
        <w:numPr>
          <w:ilvl w:val="0"/>
          <w:numId w:val="0"/>
        </w:numPr>
        <w:ind w:left="720"/>
        <w:jc w:val="both"/>
      </w:pPr>
      <w:r>
        <w:t>‘</w:t>
      </w:r>
      <w:r w:rsidRPr="00DB7136">
        <w:rPr>
          <w:i/>
          <w:iCs/>
        </w:rPr>
        <w:t>The level of dispatchable electricity generation capacity (i.e. capacity that does not rely on wind or solar energy) needs to increase significantly over the coming years due to the reduced reliability of existing plants, anticipated new power stations not being developed as planned, expected strong growth in demand for electricity, and the closure of existing generation’</w:t>
      </w:r>
      <w:r>
        <w:t>.</w:t>
      </w:r>
    </w:p>
    <w:p w14:paraId="38CCBC15" w14:textId="43C36DE0" w:rsidR="00460C9C" w:rsidRPr="00EC293E" w:rsidRDefault="00460C9C" w:rsidP="00F938E5">
      <w:pPr>
        <w:pStyle w:val="Heading3"/>
        <w:jc w:val="both"/>
      </w:pPr>
      <w:bookmarkStart w:id="26" w:name="_Toc158156170"/>
      <w:r w:rsidRPr="00EC293E">
        <w:t xml:space="preserve">Policy Statement on Security of Electricity Supply, </w:t>
      </w:r>
      <w:r>
        <w:t xml:space="preserve">November </w:t>
      </w:r>
      <w:r w:rsidRPr="00EC293E">
        <w:t>2021</w:t>
      </w:r>
      <w:bookmarkEnd w:id="26"/>
    </w:p>
    <w:p w14:paraId="3E2FF3D5" w14:textId="0ED59E09" w:rsidR="000C570A" w:rsidRDefault="00460C9C" w:rsidP="00F938E5">
      <w:pPr>
        <w:pStyle w:val="CBody2"/>
        <w:numPr>
          <w:ilvl w:val="0"/>
          <w:numId w:val="0"/>
        </w:numPr>
        <w:jc w:val="both"/>
      </w:pPr>
      <w:r w:rsidRPr="00D51CE3">
        <w:t>This states that the Programme for Government requires a 51% reduction in greenhouse gas emissions by 2030 and that 80% of electricity consumption will come from renewable sources by 2030. Ensuring energy security is a national priority, as the electricity system decarbonises towards net zero emissions.</w:t>
      </w:r>
    </w:p>
    <w:p w14:paraId="543CE1CA" w14:textId="7F1890B0" w:rsidR="00460C9C" w:rsidRPr="00A24EF9" w:rsidRDefault="00460C9C" w:rsidP="00F938E5">
      <w:pPr>
        <w:pStyle w:val="Heading3"/>
        <w:jc w:val="both"/>
      </w:pPr>
      <w:bookmarkStart w:id="27" w:name="_Toc158156171"/>
      <w:r w:rsidRPr="00A24EF9">
        <w:t>Long-Term Strategy on Greenhouse Gas Emissions Reductions (April 2023)</w:t>
      </w:r>
      <w:bookmarkEnd w:id="27"/>
      <w:r w:rsidRPr="00A24EF9">
        <w:t xml:space="preserve"> </w:t>
      </w:r>
    </w:p>
    <w:p w14:paraId="54DCBB76" w14:textId="4B690DF8" w:rsidR="00EB0624" w:rsidRDefault="00460C9C" w:rsidP="00F938E5">
      <w:pPr>
        <w:pStyle w:val="CBody2"/>
        <w:numPr>
          <w:ilvl w:val="0"/>
          <w:numId w:val="0"/>
        </w:numPr>
        <w:jc w:val="both"/>
      </w:pPr>
      <w:r>
        <w:t xml:space="preserve">Section 1, Security of Supply, notes that in the transition to a climate neutral future, the pathway to decarbonisation must be underpinned by affordability and security in how we access and use energy. In the short-term, we need to address capacity shortfalls in the electricity system and ensure adequate conventional generation is in place to support the elevated levels of renewable electricity being generated.   </w:t>
      </w:r>
    </w:p>
    <w:p w14:paraId="5E695F70" w14:textId="77777777" w:rsidR="001369D9" w:rsidRDefault="001369D9" w:rsidP="00F938E5">
      <w:pPr>
        <w:pStyle w:val="CBody2"/>
        <w:numPr>
          <w:ilvl w:val="0"/>
          <w:numId w:val="0"/>
        </w:numPr>
        <w:jc w:val="both"/>
      </w:pPr>
    </w:p>
    <w:p w14:paraId="282899B5" w14:textId="77777777" w:rsidR="001369D9" w:rsidRDefault="001369D9" w:rsidP="00F938E5">
      <w:pPr>
        <w:pStyle w:val="CBody2"/>
        <w:numPr>
          <w:ilvl w:val="0"/>
          <w:numId w:val="0"/>
        </w:numPr>
        <w:jc w:val="both"/>
      </w:pPr>
    </w:p>
    <w:p w14:paraId="1461A738" w14:textId="77777777" w:rsidR="001369D9" w:rsidRDefault="001369D9" w:rsidP="00F938E5">
      <w:pPr>
        <w:pStyle w:val="CBody2"/>
        <w:numPr>
          <w:ilvl w:val="0"/>
          <w:numId w:val="0"/>
        </w:numPr>
        <w:jc w:val="both"/>
      </w:pPr>
    </w:p>
    <w:p w14:paraId="5F4F37F3" w14:textId="77777777" w:rsidR="00EB0624" w:rsidRDefault="00460C9C" w:rsidP="00EB0624">
      <w:pPr>
        <w:pStyle w:val="Heading3"/>
        <w:jc w:val="both"/>
      </w:pPr>
      <w:bookmarkStart w:id="28" w:name="_Toc158156172"/>
      <w:r w:rsidRPr="009B5DF6">
        <w:lastRenderedPageBreak/>
        <w:t>National Climate and Energy Plan 2021-2030 (NCEP)</w:t>
      </w:r>
      <w:bookmarkEnd w:id="28"/>
      <w:r w:rsidRPr="009B5DF6">
        <w:t xml:space="preserve"> </w:t>
      </w:r>
    </w:p>
    <w:p w14:paraId="63AB588E" w14:textId="7F9A58D7" w:rsidR="00460C9C" w:rsidRDefault="00460C9C" w:rsidP="00EB0624">
      <w:pPr>
        <w:pStyle w:val="BBody1"/>
        <w:numPr>
          <w:ilvl w:val="0"/>
          <w:numId w:val="0"/>
        </w:numPr>
      </w:pPr>
      <w:r w:rsidRPr="00D51CE3">
        <w:t>Ireland’s target to reduce greenhouse gas emissions increased from 40% to 55% by 2030.</w:t>
      </w:r>
      <w:r>
        <w:t xml:space="preserve"> </w:t>
      </w:r>
      <w:r w:rsidRPr="00D51CE3">
        <w:t xml:space="preserve"> It refers to reach</w:t>
      </w:r>
      <w:r>
        <w:t>ing</w:t>
      </w:r>
      <w:r w:rsidRPr="00D51CE3">
        <w:t xml:space="preserve"> 70% of energy from renewables by 2030, underpinned by the Renewable Energy Support Scheme. Energy security is a key priority.</w:t>
      </w:r>
    </w:p>
    <w:p w14:paraId="3F711E85" w14:textId="79F3EA95" w:rsidR="00460C9C" w:rsidRPr="00DF1942" w:rsidRDefault="00460C9C" w:rsidP="00F938E5">
      <w:pPr>
        <w:pStyle w:val="Heading3"/>
        <w:jc w:val="both"/>
      </w:pPr>
      <w:bookmarkStart w:id="29" w:name="_Toc158156173"/>
      <w:r w:rsidRPr="00DF1942">
        <w:t>National Biodiversity Action Plan 2017 – 2021</w:t>
      </w:r>
      <w:r>
        <w:t>(NBAP)</w:t>
      </w:r>
      <w:bookmarkEnd w:id="29"/>
    </w:p>
    <w:p w14:paraId="31729F9E" w14:textId="1E34F88B" w:rsidR="00796C8A" w:rsidRPr="002568F9" w:rsidRDefault="00460C9C" w:rsidP="009529B5">
      <w:pPr>
        <w:pStyle w:val="CBody2"/>
        <w:numPr>
          <w:ilvl w:val="0"/>
          <w:numId w:val="0"/>
        </w:numPr>
        <w:jc w:val="both"/>
      </w:pPr>
      <w:r>
        <w:t xml:space="preserve">The current NBAP has a list of Objectives and Actions which promotes biodiversity as follows, </w:t>
      </w:r>
      <w:r w:rsidRPr="000B73F5">
        <w:rPr>
          <w:b/>
          <w:bCs/>
        </w:rPr>
        <w:t>Objective 1</w:t>
      </w:r>
      <w:r>
        <w:t xml:space="preserve"> supports mainstream biodiversity into decision-making across all sectors; </w:t>
      </w:r>
      <w:r w:rsidRPr="000B73F5">
        <w:rPr>
          <w:b/>
          <w:bCs/>
        </w:rPr>
        <w:t>Objective 2</w:t>
      </w:r>
      <w:r>
        <w:t xml:space="preserve"> promotes the strengthening of the knowledge base for conservation, </w:t>
      </w:r>
      <w:proofErr w:type="gramStart"/>
      <w:r>
        <w:t>management</w:t>
      </w:r>
      <w:proofErr w:type="gramEnd"/>
      <w:r>
        <w:t xml:space="preserve"> and sustainable use of biodiversity.  </w:t>
      </w:r>
      <w:r w:rsidRPr="000B73F5">
        <w:rPr>
          <w:b/>
          <w:bCs/>
        </w:rPr>
        <w:t>Objective 3</w:t>
      </w:r>
      <w:r>
        <w:t xml:space="preserve"> promotes increasing awareness and appreciation of biodiversity and ecosystem services; </w:t>
      </w:r>
      <w:r w:rsidRPr="000B73F5">
        <w:rPr>
          <w:b/>
          <w:bCs/>
        </w:rPr>
        <w:t>Objective 4</w:t>
      </w:r>
      <w:r>
        <w:t xml:space="preserve"> promotes conserving and restoring biodiversity and ecosystem services in the wider countryside; </w:t>
      </w:r>
      <w:r w:rsidRPr="000B73F5">
        <w:rPr>
          <w:b/>
          <w:bCs/>
        </w:rPr>
        <w:t>Objective 5</w:t>
      </w:r>
      <w:r>
        <w:t xml:space="preserve"> refers to conserving and restoring biodiversity and ecosystem in the marine environment; </w:t>
      </w:r>
      <w:r w:rsidRPr="007921DE">
        <w:rPr>
          <w:b/>
          <w:bCs/>
        </w:rPr>
        <w:t>Objective 6</w:t>
      </w:r>
      <w:r>
        <w:t xml:space="preserve"> supports expanding and improving management of protected areas and species; </w:t>
      </w:r>
      <w:r w:rsidRPr="007921DE">
        <w:rPr>
          <w:b/>
          <w:bCs/>
        </w:rPr>
        <w:t>Objective 7</w:t>
      </w:r>
      <w:r>
        <w:t xml:space="preserve"> promotes strengthening international governance for biodiversity and ecosystem services. </w:t>
      </w:r>
      <w:r w:rsidRPr="005D7E54">
        <w:rPr>
          <w:rStyle w:val="CBody2Char"/>
        </w:rPr>
        <w:t>The 4th National Biodiversity Action Plan (NBAP) has been in development since October 2021.  The Plan will set the national biodiversity agenda for the period 2023 – 2027</w:t>
      </w:r>
      <w:r w:rsidRPr="005D7E54">
        <w:t xml:space="preserve">. </w:t>
      </w:r>
    </w:p>
    <w:p w14:paraId="4642BA72" w14:textId="70DAA4D7" w:rsidR="00460C9C" w:rsidRPr="00EE2A61" w:rsidRDefault="00460C9C" w:rsidP="00F938E5">
      <w:pPr>
        <w:pStyle w:val="Heading3"/>
        <w:jc w:val="both"/>
      </w:pPr>
      <w:bookmarkStart w:id="30" w:name="_Toc158156176"/>
      <w:r w:rsidRPr="00EE2A61">
        <w:rPr>
          <w:rStyle w:val="CBody2Char"/>
        </w:rPr>
        <w:t>All-Island Generation Capacity Statement 2022-2031</w:t>
      </w:r>
      <w:bookmarkEnd w:id="30"/>
      <w:r w:rsidRPr="00EE2A61">
        <w:rPr>
          <w:rStyle w:val="CBody2Char"/>
        </w:rPr>
        <w:t xml:space="preserve"> </w:t>
      </w:r>
    </w:p>
    <w:p w14:paraId="08F76E9A" w14:textId="77777777" w:rsidR="00460C9C" w:rsidRPr="001E2DEE" w:rsidRDefault="00460C9C" w:rsidP="00F938E5">
      <w:pPr>
        <w:pStyle w:val="BBody1"/>
        <w:numPr>
          <w:ilvl w:val="0"/>
          <w:numId w:val="0"/>
        </w:numPr>
        <w:jc w:val="both"/>
        <w:rPr>
          <w:rStyle w:val="Heading3Char"/>
          <w:b w:val="0"/>
        </w:rPr>
      </w:pPr>
      <w:r w:rsidRPr="00F45078">
        <w:t>Capacity statements set out expected electricity demand and the level of generation capacity required, over the next ten years.  The 2022 statement predicts a challenging outlook with capacity deficits identified to 2031.  In the short-term, deficits will increase due to the deteriorating availability of power plants.  In later years the deficits are expected to reduce as new capacity comes forward through the SEM capacity auctions.  Further new electricity generation will be required to secure the transition to high levels of renewable electricity</w:t>
      </w:r>
      <w:r w:rsidRPr="001E2DEE">
        <w:rPr>
          <w:rStyle w:val="Heading3Char"/>
          <w:b w:val="0"/>
        </w:rPr>
        <w:t xml:space="preserve">.  </w:t>
      </w:r>
    </w:p>
    <w:p w14:paraId="175AAC7D" w14:textId="0F876388" w:rsidR="00460C9C" w:rsidRDefault="00460C9C" w:rsidP="00F938E5">
      <w:pPr>
        <w:pStyle w:val="Heading2"/>
        <w:jc w:val="both"/>
      </w:pPr>
      <w:bookmarkStart w:id="31" w:name="_Toc157634107"/>
      <w:bookmarkStart w:id="32" w:name="_Toc158156177"/>
      <w:bookmarkStart w:id="33" w:name="_Toc158202917"/>
      <w:r>
        <w:t>Overview of Renewable Energy Policy</w:t>
      </w:r>
      <w:bookmarkEnd w:id="31"/>
      <w:bookmarkEnd w:id="32"/>
      <w:bookmarkEnd w:id="33"/>
    </w:p>
    <w:p w14:paraId="7E8232C8" w14:textId="4745642C" w:rsidR="00FD7865" w:rsidRPr="00B65DE7" w:rsidRDefault="00460C9C" w:rsidP="00B65DE7">
      <w:pPr>
        <w:pStyle w:val="BBody1"/>
        <w:numPr>
          <w:ilvl w:val="0"/>
          <w:numId w:val="0"/>
        </w:numPr>
        <w:jc w:val="both"/>
        <w:rPr>
          <w:b/>
        </w:rPr>
      </w:pPr>
      <w:r w:rsidRPr="00BD78FA">
        <w:t>I consider</w:t>
      </w:r>
      <w:r>
        <w:t xml:space="preserve"> that European, National and Regional policy clearly supports the provision of an OCGT power plant.  The CAP24 specifically provides a target for the delivery of at least </w:t>
      </w:r>
      <w:r w:rsidRPr="00D407C5">
        <w:t>2 GW of new flexible gas-fired power generation</w:t>
      </w:r>
      <w:r>
        <w:t xml:space="preserve">.  In addition, the </w:t>
      </w:r>
      <w:r w:rsidRPr="00E81459">
        <w:t xml:space="preserve">Energy </w:t>
      </w:r>
      <w:r w:rsidRPr="00E81459">
        <w:lastRenderedPageBreak/>
        <w:t xml:space="preserve">Security in Ireland to 2030, Energy Security Package, </w:t>
      </w:r>
      <w:r>
        <w:t>highlights the need for</w:t>
      </w:r>
      <w:r w:rsidRPr="005108E8">
        <w:t xml:space="preserve"> new gas-fired generation as flexible back-up, </w:t>
      </w:r>
      <w:proofErr w:type="gramStart"/>
      <w:r w:rsidRPr="005108E8">
        <w:t>interconnection</w:t>
      </w:r>
      <w:proofErr w:type="gramEnd"/>
      <w:r w:rsidRPr="005108E8">
        <w:t xml:space="preserve"> and storage</w:t>
      </w:r>
      <w:r>
        <w:t xml:space="preserve"> </w:t>
      </w:r>
      <w:r w:rsidRPr="005108E8">
        <w:t xml:space="preserve">to secure our electricity supplies. </w:t>
      </w:r>
      <w:r w:rsidRPr="00B65DE7">
        <w:t xml:space="preserve">The </w:t>
      </w:r>
      <w:r w:rsidR="00B65DE7" w:rsidRPr="00B65DE7">
        <w:t xml:space="preserve">Kerry </w:t>
      </w:r>
      <w:r w:rsidRPr="00B65DE7">
        <w:t xml:space="preserve">County Development Plan also supports the development </w:t>
      </w:r>
      <w:r w:rsidR="00B65DE7" w:rsidRPr="00B65DE7">
        <w:t>as outlined</w:t>
      </w:r>
      <w:r w:rsidR="00B65DE7">
        <w:t xml:space="preserve"> </w:t>
      </w:r>
      <w:r w:rsidR="00FD7865">
        <w:t xml:space="preserve">in the Local Policy </w:t>
      </w:r>
      <w:r w:rsidR="00B65DE7">
        <w:t>above</w:t>
      </w:r>
      <w:r w:rsidR="00BC039F">
        <w:t>.</w:t>
      </w:r>
    </w:p>
    <w:p w14:paraId="2DA0A1D4" w14:textId="309BB325" w:rsidR="00004BFD" w:rsidRPr="004B5C94" w:rsidRDefault="00CD21BF" w:rsidP="00CD21BF">
      <w:pPr>
        <w:pStyle w:val="EHead1"/>
      </w:pPr>
      <w:bookmarkStart w:id="34" w:name="_Toc171346782"/>
      <w:r>
        <w:t>Submissions &amp; Observations</w:t>
      </w:r>
      <w:bookmarkEnd w:id="34"/>
    </w:p>
    <w:p w14:paraId="2107F1B9" w14:textId="2DD7798D" w:rsidR="00E40DCA" w:rsidRPr="004B5C94" w:rsidRDefault="000F3BD8" w:rsidP="00F938E5">
      <w:pPr>
        <w:pStyle w:val="Heading2"/>
        <w:jc w:val="both"/>
      </w:pPr>
      <w:bookmarkStart w:id="35" w:name="_Toc950635"/>
      <w:r w:rsidRPr="004B5C94">
        <w:t>Planning Authority</w:t>
      </w:r>
      <w:bookmarkEnd w:id="35"/>
      <w:r w:rsidR="00CD21BF">
        <w:t xml:space="preserve"> Submission</w:t>
      </w:r>
    </w:p>
    <w:p w14:paraId="2107F1BA" w14:textId="315DC236" w:rsidR="00E40DCA" w:rsidRPr="00EA2B7B" w:rsidRDefault="00EA2B7B" w:rsidP="00F938E5">
      <w:pPr>
        <w:pStyle w:val="CBody2"/>
        <w:jc w:val="both"/>
        <w:rPr>
          <w:b/>
          <w:bCs/>
        </w:rPr>
      </w:pPr>
      <w:r w:rsidRPr="00EA2B7B">
        <w:rPr>
          <w:b/>
          <w:bCs/>
        </w:rPr>
        <w:t xml:space="preserve">Kerry County Council (KCC) </w:t>
      </w:r>
      <w:r w:rsidR="0011565E" w:rsidRPr="00EA2B7B">
        <w:rPr>
          <w:b/>
          <w:bCs/>
        </w:rPr>
        <w:t>Development Management Section</w:t>
      </w:r>
    </w:p>
    <w:p w14:paraId="5772C4D3" w14:textId="1181160A" w:rsidR="00BB4278" w:rsidRDefault="00BB4278" w:rsidP="001B2511">
      <w:pPr>
        <w:pStyle w:val="CBody2"/>
        <w:numPr>
          <w:ilvl w:val="0"/>
          <w:numId w:val="26"/>
        </w:numPr>
        <w:jc w:val="both"/>
      </w:pPr>
      <w:r>
        <w:t>Development Considered Accepta</w:t>
      </w:r>
      <w:r w:rsidR="00073AA7">
        <w:t>ble in principle by KCC.  Proposal would be in keeping with establ</w:t>
      </w:r>
      <w:r w:rsidR="006229E2">
        <w:t xml:space="preserve">ished use on the site, namely the generation of </w:t>
      </w:r>
      <w:proofErr w:type="gramStart"/>
      <w:r w:rsidR="006229E2">
        <w:t>Electricity</w:t>
      </w:r>
      <w:proofErr w:type="gramEnd"/>
      <w:r w:rsidR="006229E2">
        <w:t>.</w:t>
      </w:r>
      <w:r w:rsidR="00EF2602">
        <w:t xml:space="preserve">  </w:t>
      </w:r>
      <w:r w:rsidR="00EF2602" w:rsidRPr="005D0E99">
        <w:t>Planning Authority recommends a grant of permission with conditions.</w:t>
      </w:r>
      <w:r w:rsidR="00E301AD">
        <w:t xml:space="preserve">  Conditions listed </w:t>
      </w:r>
      <w:r w:rsidR="004A2397">
        <w:t>Pages 14 – 17 of PA Submission.</w:t>
      </w:r>
    </w:p>
    <w:p w14:paraId="0D0C40E5" w14:textId="34856160" w:rsidR="0011565E" w:rsidRDefault="00DF4CA1" w:rsidP="001B2511">
      <w:pPr>
        <w:pStyle w:val="CBody2"/>
        <w:numPr>
          <w:ilvl w:val="0"/>
          <w:numId w:val="26"/>
        </w:numPr>
        <w:jc w:val="both"/>
      </w:pPr>
      <w:r>
        <w:t>Submission outlines key Development Plan policy supporting the proposed development.</w:t>
      </w:r>
      <w:r w:rsidR="006229E2">
        <w:t xml:space="preserve">  Tarbert island is considered a Strategic Development Location (SDL) under </w:t>
      </w:r>
      <w:r w:rsidR="00D22A3A">
        <w:t>the SIFP area as part of the Shannon Estuary Coastal Network.  The site is considered significant as an Energy Hub.</w:t>
      </w:r>
    </w:p>
    <w:p w14:paraId="32372528" w14:textId="383DC7FE" w:rsidR="00DE7DCC" w:rsidRDefault="00DE7DCC" w:rsidP="001B2511">
      <w:pPr>
        <w:pStyle w:val="CBody2"/>
        <w:numPr>
          <w:ilvl w:val="0"/>
          <w:numId w:val="26"/>
        </w:numPr>
        <w:jc w:val="both"/>
      </w:pPr>
      <w:r>
        <w:t xml:space="preserve">Ecologists report </w:t>
      </w:r>
      <w:r w:rsidR="002E0AE5">
        <w:t>noted</w:t>
      </w:r>
      <w:r w:rsidR="00693458">
        <w:t xml:space="preserve"> no impact</w:t>
      </w:r>
      <w:r w:rsidR="002E0AE5">
        <w:t xml:space="preserve"> in relation to AA</w:t>
      </w:r>
      <w:r w:rsidR="00693458">
        <w:t xml:space="preserve"> subject to mitigation measures being implemented</w:t>
      </w:r>
      <w:r w:rsidR="002E0AE5">
        <w:t xml:space="preserve"> as explained in Section 2.5 of this report.</w:t>
      </w:r>
    </w:p>
    <w:p w14:paraId="5D9EBE66" w14:textId="5F3DEA6B" w:rsidR="00F44EB6" w:rsidRDefault="00F44EB6" w:rsidP="001B2511">
      <w:pPr>
        <w:pStyle w:val="CBody2"/>
        <w:numPr>
          <w:ilvl w:val="0"/>
          <w:numId w:val="26"/>
        </w:numPr>
        <w:jc w:val="both"/>
      </w:pPr>
      <w:r>
        <w:t>No protected structures or Architectural Conservation Are</w:t>
      </w:r>
      <w:r w:rsidR="00D322C2">
        <w:t>a</w:t>
      </w:r>
      <w:r w:rsidR="00C3166E">
        <w:t xml:space="preserve"> within or in the vicinity of the site</w:t>
      </w:r>
      <w:r w:rsidR="00856C7F">
        <w:t xml:space="preserve">.  The County Archaeologist </w:t>
      </w:r>
      <w:r w:rsidR="00B86A59">
        <w:t>recommends no</w:t>
      </w:r>
      <w:r w:rsidR="00856C7F">
        <w:t xml:space="preserve"> further archaeological mitigation required</w:t>
      </w:r>
      <w:r w:rsidR="00583E20">
        <w:t>, that there is no potential for sub-surface remains on the site which has been completely disturbed and excavated in the past</w:t>
      </w:r>
      <w:r w:rsidR="00856C7F">
        <w:t>.</w:t>
      </w:r>
    </w:p>
    <w:p w14:paraId="1D13A83F" w14:textId="6065ACD6" w:rsidR="000553E0" w:rsidRPr="005D0E99" w:rsidRDefault="00121819" w:rsidP="001B2511">
      <w:pPr>
        <w:pStyle w:val="CBody2"/>
        <w:numPr>
          <w:ilvl w:val="0"/>
          <w:numId w:val="26"/>
        </w:numPr>
        <w:jc w:val="both"/>
      </w:pPr>
      <w:r w:rsidRPr="005D0E99">
        <w:t>Proposed Development Classified as a Highly Vulnerable Development within Flood Zone A</w:t>
      </w:r>
      <w:r w:rsidR="0039237B" w:rsidRPr="005D0E99">
        <w:t>, justification test required to mitigate flood risk.</w:t>
      </w:r>
      <w:r w:rsidR="00CF45A6" w:rsidRPr="005D0E99">
        <w:t xml:space="preserve">  The Council Coastal and Flooding Unit recommend prudency in relation to design with the more conservative Option 3 (</w:t>
      </w:r>
      <w:r w:rsidR="00B7631C" w:rsidRPr="005D0E99">
        <w:t>See Section 5;</w:t>
      </w:r>
      <w:r w:rsidR="005D0E99" w:rsidRPr="005D0E99">
        <w:t xml:space="preserve"> </w:t>
      </w:r>
      <w:r w:rsidR="00B7631C" w:rsidRPr="005D0E99">
        <w:t>Conclusion, Stage 2 Flood Risk Assessment (</w:t>
      </w:r>
      <w:r w:rsidR="00075324" w:rsidRPr="005D0E99">
        <w:t>A</w:t>
      </w:r>
      <w:r w:rsidR="00B7631C" w:rsidRPr="005D0E99">
        <w:t>ppendix 12 A)</w:t>
      </w:r>
      <w:r w:rsidR="003D616D" w:rsidRPr="005D0E99">
        <w:t xml:space="preserve"> with finished Flood Wall/Gate levels of +5.2m OD Malin (+7.9m OD </w:t>
      </w:r>
      <w:proofErr w:type="spellStart"/>
      <w:r w:rsidR="003D616D" w:rsidRPr="005D0E99">
        <w:t>Poolbeg</w:t>
      </w:r>
      <w:proofErr w:type="spellEnd"/>
      <w:r w:rsidR="003D616D" w:rsidRPr="005D0E99">
        <w:t>)</w:t>
      </w:r>
      <w:r w:rsidR="006D64A1" w:rsidRPr="005D0E99">
        <w:t xml:space="preserve"> as against the +7.54m OD </w:t>
      </w:r>
      <w:proofErr w:type="spellStart"/>
      <w:r w:rsidR="006D64A1" w:rsidRPr="005D0E99">
        <w:t>Poolbeg</w:t>
      </w:r>
      <w:proofErr w:type="spellEnd"/>
      <w:r w:rsidR="006D64A1" w:rsidRPr="005D0E99">
        <w:t xml:space="preserve"> indicated in the drawings.</w:t>
      </w:r>
      <w:r w:rsidR="004328F0" w:rsidRPr="005D0E99">
        <w:t xml:space="preserve">  </w:t>
      </w:r>
      <w:r w:rsidR="000553E0" w:rsidRPr="005D0E99">
        <w:t>Site not served by a public surface water drainage system.</w:t>
      </w:r>
    </w:p>
    <w:p w14:paraId="1F2AC4A5" w14:textId="188AF17D" w:rsidR="004328F0" w:rsidRPr="005D0E99" w:rsidRDefault="004328F0" w:rsidP="001B2511">
      <w:pPr>
        <w:pStyle w:val="CBody2"/>
        <w:numPr>
          <w:ilvl w:val="0"/>
          <w:numId w:val="26"/>
        </w:numPr>
        <w:jc w:val="both"/>
      </w:pPr>
      <w:r w:rsidRPr="005D0E99">
        <w:lastRenderedPageBreak/>
        <w:t>Site located c. 0.22km north of a designated Visually Sensitive Area</w:t>
      </w:r>
      <w:r w:rsidR="00C123DD" w:rsidRPr="005D0E99">
        <w:t xml:space="preserve"> as per KCDP 2022.  A ‘Views and Prospects’ corridor </w:t>
      </w:r>
      <w:r w:rsidR="00A13D30" w:rsidRPr="005D0E99">
        <w:t>is also designated along the N67 National Secondary Public Road southeast of the site.</w:t>
      </w:r>
      <w:r w:rsidR="00EA2B7B" w:rsidRPr="005D0E99">
        <w:t xml:space="preserve"> KCC</w:t>
      </w:r>
      <w:r w:rsidR="00D0096B" w:rsidRPr="005D0E99">
        <w:t xml:space="preserve"> consider given presence of existing large buildings on site that visual impact will be </w:t>
      </w:r>
      <w:r w:rsidR="00243BC6" w:rsidRPr="005D0E99">
        <w:t xml:space="preserve">low and </w:t>
      </w:r>
      <w:r w:rsidR="00D0096B" w:rsidRPr="005D0E99">
        <w:t>localised.</w:t>
      </w:r>
    </w:p>
    <w:p w14:paraId="2D6913A7" w14:textId="50D5F6A4" w:rsidR="00CC010D" w:rsidRPr="005D0E99" w:rsidRDefault="00CC010D" w:rsidP="001B2511">
      <w:pPr>
        <w:pStyle w:val="CBody2"/>
        <w:numPr>
          <w:ilvl w:val="0"/>
          <w:numId w:val="26"/>
        </w:numPr>
        <w:jc w:val="both"/>
      </w:pPr>
      <w:r w:rsidRPr="005D0E99">
        <w:t>Listowel Municipal Roads Office recommend planning conditions to be attached to any grant of permission by ABP</w:t>
      </w:r>
      <w:r w:rsidR="00CA3548" w:rsidRPr="005D0E99">
        <w:t>.</w:t>
      </w:r>
    </w:p>
    <w:p w14:paraId="02200FC6" w14:textId="1255180D" w:rsidR="00CA3548" w:rsidRDefault="00CA3548" w:rsidP="001B2511">
      <w:pPr>
        <w:pStyle w:val="CBody2"/>
        <w:numPr>
          <w:ilvl w:val="0"/>
          <w:numId w:val="26"/>
        </w:numPr>
        <w:jc w:val="both"/>
      </w:pPr>
      <w:r w:rsidRPr="005D0E99">
        <w:t>The Environment</w:t>
      </w:r>
      <w:r w:rsidR="00992898" w:rsidRPr="005D0E99">
        <w:t xml:space="preserve"> Section of KCC </w:t>
      </w:r>
      <w:r w:rsidR="00A6635C" w:rsidRPr="005D0E99">
        <w:t xml:space="preserve">have provided a positive report in relation to </w:t>
      </w:r>
      <w:r w:rsidR="00C35C32" w:rsidRPr="005D0E99">
        <w:t xml:space="preserve">the carrying capacity and </w:t>
      </w:r>
      <w:r w:rsidR="00A6635C" w:rsidRPr="005D0E99">
        <w:t xml:space="preserve">the likely significant effects on the environment of </w:t>
      </w:r>
      <w:r w:rsidR="00C35C32" w:rsidRPr="005D0E99">
        <w:t xml:space="preserve">the proposed development.  They recommend planning conditions to be attached </w:t>
      </w:r>
      <w:r w:rsidR="00FF33B0" w:rsidRPr="005D0E99">
        <w:t>to any grant of permission by ABP.</w:t>
      </w:r>
      <w:r w:rsidR="00D264F7" w:rsidRPr="005D0E99">
        <w:t xml:space="preserve">  Main issue is in relation to </w:t>
      </w:r>
      <w:r w:rsidR="006A141C" w:rsidRPr="005D0E99">
        <w:t>water quality</w:t>
      </w:r>
      <w:r w:rsidR="006A141C">
        <w:t xml:space="preserve"> management and implementation of mitigation measures during construction.</w:t>
      </w:r>
    </w:p>
    <w:p w14:paraId="79438D1A" w14:textId="6BC01F9D" w:rsidR="00B516F1" w:rsidRDefault="00B516F1" w:rsidP="00B516F1">
      <w:pPr>
        <w:pStyle w:val="CBody2"/>
        <w:numPr>
          <w:ilvl w:val="0"/>
          <w:numId w:val="0"/>
        </w:numPr>
        <w:ind w:left="720"/>
        <w:jc w:val="both"/>
      </w:pPr>
      <w:r>
        <w:t xml:space="preserve">Issues raised by Environment Section include the </w:t>
      </w:r>
      <w:proofErr w:type="gramStart"/>
      <w:r>
        <w:t>following;</w:t>
      </w:r>
      <w:proofErr w:type="gramEnd"/>
    </w:p>
    <w:p w14:paraId="7559D551" w14:textId="0A764D3F" w:rsidR="00B516F1" w:rsidRDefault="002213BF" w:rsidP="001B2511">
      <w:pPr>
        <w:pStyle w:val="CBody2"/>
        <w:numPr>
          <w:ilvl w:val="0"/>
          <w:numId w:val="27"/>
        </w:numPr>
        <w:jc w:val="both"/>
      </w:pPr>
      <w:r>
        <w:t xml:space="preserve">Management of Domestic wastewater </w:t>
      </w:r>
      <w:proofErr w:type="gramStart"/>
      <w:r>
        <w:t>onsite</w:t>
      </w:r>
      <w:r w:rsidR="00557F39">
        <w:t>;</w:t>
      </w:r>
      <w:proofErr w:type="gramEnd"/>
    </w:p>
    <w:p w14:paraId="339833CA" w14:textId="5403D754" w:rsidR="00245872" w:rsidRDefault="00245872" w:rsidP="001B2511">
      <w:pPr>
        <w:pStyle w:val="CBody2"/>
        <w:numPr>
          <w:ilvl w:val="0"/>
          <w:numId w:val="27"/>
        </w:numPr>
        <w:jc w:val="both"/>
      </w:pPr>
      <w:r>
        <w:t>Management of Waste including ‘dredging spoil</w:t>
      </w:r>
      <w:proofErr w:type="gramStart"/>
      <w:r>
        <w:t>’;</w:t>
      </w:r>
      <w:proofErr w:type="gramEnd"/>
    </w:p>
    <w:p w14:paraId="70B6C838" w14:textId="48EA9A0C" w:rsidR="00245872" w:rsidRDefault="00C47165" w:rsidP="001B2511">
      <w:pPr>
        <w:pStyle w:val="CBody2"/>
        <w:numPr>
          <w:ilvl w:val="0"/>
          <w:numId w:val="27"/>
        </w:numPr>
        <w:jc w:val="both"/>
      </w:pPr>
      <w:r>
        <w:t>Construction and Development Waste</w:t>
      </w:r>
      <w:r w:rsidR="00E00D43">
        <w:t xml:space="preserve"> Management;</w:t>
      </w:r>
      <w:r w:rsidR="00C74267">
        <w:t xml:space="preserve"> Plan (C&amp;DWMP)</w:t>
      </w:r>
    </w:p>
    <w:p w14:paraId="2107F1BC" w14:textId="4D4047CE" w:rsidR="00E40DCA" w:rsidRDefault="00C74267" w:rsidP="001B2511">
      <w:pPr>
        <w:pStyle w:val="CBody2"/>
        <w:numPr>
          <w:ilvl w:val="0"/>
          <w:numId w:val="27"/>
        </w:numPr>
        <w:jc w:val="both"/>
      </w:pPr>
      <w:r>
        <w:t>C&amp;D</w:t>
      </w:r>
      <w:r w:rsidR="00E00D43">
        <w:t xml:space="preserve">WMP to consider </w:t>
      </w:r>
      <w:r>
        <w:t>waste acceptance in relation to contaminated soils.</w:t>
      </w:r>
    </w:p>
    <w:p w14:paraId="2CBAA621" w14:textId="62C589D2" w:rsidR="00684256" w:rsidRDefault="00684256" w:rsidP="00C6208E">
      <w:pPr>
        <w:pStyle w:val="CBody2"/>
        <w:numPr>
          <w:ilvl w:val="0"/>
          <w:numId w:val="30"/>
        </w:numPr>
        <w:jc w:val="both"/>
      </w:pPr>
      <w:r>
        <w:t>Planning Authority requesting a condition relating to community gain as per Section 12.5.5 of Chapter 12 of the KCDP 2022</w:t>
      </w:r>
      <w:r w:rsidR="007F2CD7">
        <w:t>.</w:t>
      </w:r>
    </w:p>
    <w:p w14:paraId="29B35216" w14:textId="05072D23" w:rsidR="007672EB" w:rsidRPr="000553E0" w:rsidRDefault="00527D62" w:rsidP="00C6208E">
      <w:pPr>
        <w:pStyle w:val="BBody1"/>
        <w:numPr>
          <w:ilvl w:val="0"/>
          <w:numId w:val="30"/>
        </w:numPr>
        <w:jc w:val="both"/>
      </w:pPr>
      <w:r>
        <w:t>Section 48</w:t>
      </w:r>
      <w:r w:rsidR="008F5BCF">
        <w:t xml:space="preserve"> Financial Contribution</w:t>
      </w:r>
      <w:r>
        <w:t xml:space="preserve"> – The proposed development is for a renewable energy development with power generating capacity of 350MW.  The existing power station has a generating capacity of 632M</w:t>
      </w:r>
      <w:r w:rsidR="003A3E0D">
        <w:t>W</w:t>
      </w:r>
      <w:r>
        <w:t>e</w:t>
      </w:r>
      <w:r w:rsidR="00B05BFF">
        <w:t xml:space="preserve">.  </w:t>
      </w:r>
      <w:r>
        <w:t>As the proposed development would not increase power generation capac</w:t>
      </w:r>
      <w:r w:rsidR="00B05BFF">
        <w:t>i</w:t>
      </w:r>
      <w:r>
        <w:t>ty on the site, no development contributions are applicable.</w:t>
      </w:r>
      <w:r w:rsidR="000C5606">
        <w:t xml:space="preserve">  </w:t>
      </w:r>
      <w:r w:rsidR="00A84BBB">
        <w:t>In addition, the Council noted that n</w:t>
      </w:r>
      <w:r w:rsidR="000C5606">
        <w:t>o special contribution condition required.</w:t>
      </w:r>
    </w:p>
    <w:p w14:paraId="2107F1BD" w14:textId="77777777" w:rsidR="00E40DCA" w:rsidRPr="000B11DB" w:rsidRDefault="000F3BD8" w:rsidP="00F938E5">
      <w:pPr>
        <w:pStyle w:val="CBody2"/>
        <w:jc w:val="both"/>
        <w:rPr>
          <w:b/>
          <w:bCs/>
        </w:rPr>
      </w:pPr>
      <w:r w:rsidRPr="000B11DB">
        <w:rPr>
          <w:b/>
          <w:bCs/>
        </w:rPr>
        <w:t>Other Technical Reports</w:t>
      </w:r>
    </w:p>
    <w:p w14:paraId="25814E4D" w14:textId="77777777" w:rsidR="009401F2" w:rsidRDefault="000F2954" w:rsidP="00C541C9">
      <w:pPr>
        <w:pStyle w:val="DBodyNonum"/>
      </w:pPr>
      <w:r>
        <w:t xml:space="preserve">The Council submission includes </w:t>
      </w:r>
      <w:r w:rsidR="009401F2">
        <w:t xml:space="preserve">the following in the appendices, the conclusions of which have been summarised in Section 4.1.1 </w:t>
      </w:r>
      <w:proofErr w:type="gramStart"/>
      <w:r w:rsidR="009401F2">
        <w:t>above;</w:t>
      </w:r>
      <w:proofErr w:type="gramEnd"/>
    </w:p>
    <w:p w14:paraId="2107F1BE" w14:textId="5D43FE99" w:rsidR="00E40DCA" w:rsidRDefault="002051F3" w:rsidP="00C6208E">
      <w:pPr>
        <w:pStyle w:val="DBodyNonum"/>
        <w:numPr>
          <w:ilvl w:val="0"/>
          <w:numId w:val="32"/>
        </w:numPr>
      </w:pPr>
      <w:r>
        <w:t>Memo from County Archaeologist</w:t>
      </w:r>
      <w:r w:rsidR="00BB6A7E">
        <w:t xml:space="preserve"> </w:t>
      </w:r>
    </w:p>
    <w:p w14:paraId="49329AD0" w14:textId="148B0A80" w:rsidR="002051F3" w:rsidRDefault="00BB6A7E" w:rsidP="00C6208E">
      <w:pPr>
        <w:pStyle w:val="DBodyNonum"/>
        <w:numPr>
          <w:ilvl w:val="0"/>
          <w:numId w:val="32"/>
        </w:numPr>
      </w:pPr>
      <w:r>
        <w:t>Memo from Environment Department</w:t>
      </w:r>
      <w:r w:rsidR="006C375F">
        <w:t xml:space="preserve"> </w:t>
      </w:r>
    </w:p>
    <w:p w14:paraId="43841516" w14:textId="351E9EF3" w:rsidR="006C375F" w:rsidRDefault="005C705C" w:rsidP="00C6208E">
      <w:pPr>
        <w:pStyle w:val="DBodyNonum"/>
        <w:numPr>
          <w:ilvl w:val="0"/>
          <w:numId w:val="32"/>
        </w:numPr>
      </w:pPr>
      <w:r>
        <w:lastRenderedPageBreak/>
        <w:t>Memo from Executive Engineer, Listowel MD</w:t>
      </w:r>
      <w:r w:rsidR="00E07EE7">
        <w:t xml:space="preserve"> Roads </w:t>
      </w:r>
      <w:r w:rsidR="00CF267B">
        <w:t xml:space="preserve"> </w:t>
      </w:r>
    </w:p>
    <w:p w14:paraId="3CDA1F65" w14:textId="02AC5215" w:rsidR="00576B99" w:rsidRDefault="00576B99" w:rsidP="00C6208E">
      <w:pPr>
        <w:pStyle w:val="DBodyNonum"/>
        <w:numPr>
          <w:ilvl w:val="0"/>
          <w:numId w:val="32"/>
        </w:numPr>
      </w:pPr>
      <w:r>
        <w:t xml:space="preserve">Memo from </w:t>
      </w:r>
      <w:r w:rsidR="00043987">
        <w:t>Environmental Assessment unit – Biodiversity Considerations</w:t>
      </w:r>
    </w:p>
    <w:p w14:paraId="307BC3E5" w14:textId="05982554" w:rsidR="00466D26" w:rsidRDefault="00466D26" w:rsidP="00C6208E">
      <w:pPr>
        <w:pStyle w:val="DBodyNonum"/>
        <w:numPr>
          <w:ilvl w:val="0"/>
          <w:numId w:val="32"/>
        </w:numPr>
      </w:pPr>
      <w:r>
        <w:t>Comments from the Assistant Chief Fire Officer</w:t>
      </w:r>
      <w:r w:rsidR="00381CAD">
        <w:t xml:space="preserve"> of Requirements for Development.</w:t>
      </w:r>
    </w:p>
    <w:p w14:paraId="4B7452D3" w14:textId="34F89EAE" w:rsidR="00466D26" w:rsidRPr="006E24D4" w:rsidRDefault="00466D26" w:rsidP="006E24D4">
      <w:pPr>
        <w:pStyle w:val="CBody2"/>
        <w:rPr>
          <w:b/>
          <w:bCs/>
        </w:rPr>
      </w:pPr>
      <w:r w:rsidRPr="006E24D4">
        <w:rPr>
          <w:b/>
          <w:bCs/>
        </w:rPr>
        <w:t>Applicants Response</w:t>
      </w:r>
    </w:p>
    <w:p w14:paraId="53C7EE6D" w14:textId="52F06B29" w:rsidR="006E24D4" w:rsidRDefault="00DE59D0" w:rsidP="00024C33">
      <w:pPr>
        <w:pStyle w:val="Heading4"/>
      </w:pPr>
      <w:r w:rsidRPr="00C231B1">
        <w:rPr>
          <w:b/>
          <w:bCs/>
        </w:rPr>
        <w:t>Flood Risk</w:t>
      </w:r>
      <w:r>
        <w:t xml:space="preserve"> – A justification test has been included in Appendix 12B of the submitted EIAR</w:t>
      </w:r>
      <w:r w:rsidR="007373FE">
        <w:t>.  This quantifies the level of flood risk and outlines the mitigation measures proposed.</w:t>
      </w:r>
      <w:r w:rsidR="00C231B1">
        <w:t xml:space="preserve">  In relation to Design Option 3,</w:t>
      </w:r>
      <w:r w:rsidR="00053BA4">
        <w:t xml:space="preserve"> the applicant notes that this design relates to an extended design life for the proposed development</w:t>
      </w:r>
      <w:r w:rsidR="001103F0">
        <w:t xml:space="preserve"> of up to c. 70 years, well </w:t>
      </w:r>
      <w:proofErr w:type="gramStart"/>
      <w:r w:rsidR="001103F0">
        <w:t>in excess of</w:t>
      </w:r>
      <w:proofErr w:type="gramEnd"/>
      <w:r w:rsidR="001103F0">
        <w:t xml:space="preserve"> the 25-year design life that is being applied for.</w:t>
      </w:r>
      <w:r w:rsidR="00FA1AF2">
        <w:t xml:space="preserve">  The applicant states that a pragmatic design approach has been adopted for the proposed flood defences, which can be adapted in the future, if required.</w:t>
      </w:r>
      <w:r w:rsidR="000C7A92">
        <w:t xml:space="preserve">  The applicant has included a ‘Flood Wall Technical Note</w:t>
      </w:r>
      <w:r w:rsidR="00255A0B">
        <w:t xml:space="preserve">’ in the response.  This is a summary of relevant </w:t>
      </w:r>
      <w:r w:rsidR="00AE1E19">
        <w:t>information contained in the EIAR.</w:t>
      </w:r>
    </w:p>
    <w:p w14:paraId="472A3611" w14:textId="012EFBAC" w:rsidR="001E2760" w:rsidRDefault="00915A5A" w:rsidP="00024C33">
      <w:pPr>
        <w:pStyle w:val="Heading4"/>
      </w:pPr>
      <w:r w:rsidRPr="007D49D8">
        <w:rPr>
          <w:b/>
          <w:bCs/>
        </w:rPr>
        <w:t>Wastewater</w:t>
      </w:r>
      <w:r>
        <w:t xml:space="preserve"> </w:t>
      </w:r>
      <w:r w:rsidR="007D49D8">
        <w:t xml:space="preserve">- All wastewater discharges </w:t>
      </w:r>
      <w:r>
        <w:t>will be regulated under the Industrial Emissions (IE) Licence for the site</w:t>
      </w:r>
      <w:r w:rsidR="007D49D8">
        <w:t>.</w:t>
      </w:r>
      <w:r w:rsidR="00817D06">
        <w:t xml:space="preserve">  A site Suitability </w:t>
      </w:r>
      <w:r w:rsidR="00AD7065">
        <w:t>Assessment is not considered necessary or appropriate in case as discharge to ground is not being considered.</w:t>
      </w:r>
    </w:p>
    <w:p w14:paraId="510A36E9" w14:textId="49F98CF0" w:rsidR="00F31E87" w:rsidRDefault="00F31E87" w:rsidP="00024C33">
      <w:pPr>
        <w:pStyle w:val="Heading4"/>
      </w:pPr>
      <w:r w:rsidRPr="00E503BA">
        <w:rPr>
          <w:b/>
          <w:bCs/>
        </w:rPr>
        <w:t>Waste Management</w:t>
      </w:r>
      <w:r>
        <w:t xml:space="preserve"> – Quantities not determined to be significant as per EIAR Chap</w:t>
      </w:r>
      <w:r w:rsidR="00A701FE">
        <w:t xml:space="preserve">ter 18.  </w:t>
      </w:r>
      <w:r w:rsidR="00710DCE">
        <w:t>Appointed contractor will confirm authorised waste facilities prior to commencement and demolition.</w:t>
      </w:r>
      <w:r w:rsidR="00AC325A">
        <w:t xml:space="preserve">  Applicant has submitted details of </w:t>
      </w:r>
      <w:r w:rsidR="00142ADA">
        <w:t xml:space="preserve">four </w:t>
      </w:r>
      <w:r w:rsidR="00AC325A">
        <w:t>EPA licenced sites within 50km of site and five</w:t>
      </w:r>
      <w:r w:rsidR="00142ADA">
        <w:t xml:space="preserve"> local authority licensed sites within 20km of the site</w:t>
      </w:r>
      <w:r w:rsidR="00E503BA">
        <w:t>.</w:t>
      </w:r>
      <w:r w:rsidR="00AC325A">
        <w:t xml:space="preserve"> </w:t>
      </w:r>
      <w:r w:rsidR="00E503BA">
        <w:t>Dredging spoil is not anticipated to be generated by the project.</w:t>
      </w:r>
      <w:r w:rsidR="00DE7312">
        <w:t xml:space="preserve">  The excavation works will generate</w:t>
      </w:r>
      <w:r w:rsidR="00263474">
        <w:t xml:space="preserve"> waste comprising of</w:t>
      </w:r>
      <w:r w:rsidR="00DE7312">
        <w:t xml:space="preserve"> soils and stones only.</w:t>
      </w:r>
      <w:r w:rsidR="008961AD">
        <w:t xml:space="preserve">  A Waste Management Plan will be </w:t>
      </w:r>
      <w:r w:rsidR="00031A41">
        <w:t>prepared by the developer and contractor prior to commencement and demolition.</w:t>
      </w:r>
    </w:p>
    <w:p w14:paraId="638E16BE" w14:textId="19428450" w:rsidR="009B590E" w:rsidRDefault="009B590E" w:rsidP="00024C33">
      <w:pPr>
        <w:pStyle w:val="Heading4"/>
      </w:pPr>
      <w:r w:rsidRPr="009B590E">
        <w:rPr>
          <w:b/>
          <w:bCs/>
        </w:rPr>
        <w:t xml:space="preserve">Community </w:t>
      </w:r>
      <w:r w:rsidR="00FD7865">
        <w:rPr>
          <w:b/>
          <w:bCs/>
        </w:rPr>
        <w:t>Benefit Fund</w:t>
      </w:r>
      <w:r>
        <w:t xml:space="preserve"> </w:t>
      </w:r>
      <w:r w:rsidR="00A81A3F">
        <w:t>–</w:t>
      </w:r>
      <w:r>
        <w:t xml:space="preserve"> </w:t>
      </w:r>
      <w:r w:rsidR="00A81A3F">
        <w:t xml:space="preserve">The applicant states that the </w:t>
      </w:r>
      <w:r w:rsidR="00ED1F68">
        <w:t>projects dedicated Community Liaison Officer will continue to engage with the local community</w:t>
      </w:r>
      <w:r w:rsidR="005B4403">
        <w:t xml:space="preserve">, is committed to ensuring that any community commitment contributes to the social, </w:t>
      </w:r>
      <w:proofErr w:type="gramStart"/>
      <w:r w:rsidR="005B4403">
        <w:lastRenderedPageBreak/>
        <w:t>environmental</w:t>
      </w:r>
      <w:proofErr w:type="gramEnd"/>
      <w:r w:rsidR="005B4403">
        <w:t xml:space="preserve"> and economic we</w:t>
      </w:r>
      <w:r w:rsidR="00834DB5">
        <w:t>ll</w:t>
      </w:r>
      <w:r w:rsidR="005B4403">
        <w:t>-being of local communities over the construction and operational phases of the proposed development.</w:t>
      </w:r>
    </w:p>
    <w:p w14:paraId="58D7B674" w14:textId="4135742B" w:rsidR="007373FE" w:rsidRPr="000553E0" w:rsidRDefault="00090657" w:rsidP="00024C33">
      <w:pPr>
        <w:pStyle w:val="Heading4"/>
      </w:pPr>
      <w:r w:rsidRPr="00024C33">
        <w:rPr>
          <w:b/>
          <w:bCs/>
        </w:rPr>
        <w:t>Planning Conditions</w:t>
      </w:r>
      <w:r>
        <w:t xml:space="preserve"> – The Applicant notes the p</w:t>
      </w:r>
      <w:r w:rsidR="00060A9E">
        <w:t>roposed conditions and considers them to be reasonable and appropriate for the Proposed Development.</w:t>
      </w:r>
    </w:p>
    <w:p w14:paraId="2107F1BF" w14:textId="77777777" w:rsidR="00E40DCA" w:rsidRPr="000553E0" w:rsidRDefault="000F3BD8" w:rsidP="00F938E5">
      <w:pPr>
        <w:pStyle w:val="Heading2"/>
        <w:jc w:val="both"/>
      </w:pPr>
      <w:bookmarkStart w:id="36" w:name="_Toc950636"/>
      <w:r w:rsidRPr="000553E0">
        <w:t>Prescribed Bodies</w:t>
      </w:r>
      <w:bookmarkEnd w:id="36"/>
    </w:p>
    <w:p w14:paraId="5D09F2BF" w14:textId="77777777" w:rsidR="00294346" w:rsidRDefault="00294346" w:rsidP="00F938E5">
      <w:pPr>
        <w:pStyle w:val="BBody1"/>
        <w:numPr>
          <w:ilvl w:val="0"/>
          <w:numId w:val="0"/>
        </w:numPr>
        <w:jc w:val="both"/>
      </w:pPr>
      <w:r w:rsidRPr="000553E0">
        <w:t>Of the pres</w:t>
      </w:r>
      <w:r>
        <w:t xml:space="preserve">cribed bodies notified, submission have been received from the </w:t>
      </w:r>
      <w:proofErr w:type="gramStart"/>
      <w:r>
        <w:t>following;</w:t>
      </w:r>
      <w:proofErr w:type="gramEnd"/>
    </w:p>
    <w:p w14:paraId="7D4AA788" w14:textId="488EEB56" w:rsidR="002866FF" w:rsidRDefault="002866FF" w:rsidP="009354E9">
      <w:pPr>
        <w:pStyle w:val="ListParagraph"/>
        <w:numPr>
          <w:ilvl w:val="1"/>
          <w:numId w:val="5"/>
        </w:numPr>
        <w:jc w:val="both"/>
      </w:pPr>
      <w:r>
        <w:t>Kerry County Council</w:t>
      </w:r>
      <w:r w:rsidR="00AB708E">
        <w:t xml:space="preserve"> (See Section 4.1 above)</w:t>
      </w:r>
    </w:p>
    <w:p w14:paraId="1B9C687B" w14:textId="48CCEB27" w:rsidR="00790A15" w:rsidRDefault="00790A15" w:rsidP="009354E9">
      <w:pPr>
        <w:pStyle w:val="ListParagraph"/>
        <w:numPr>
          <w:ilvl w:val="1"/>
          <w:numId w:val="5"/>
        </w:numPr>
        <w:jc w:val="both"/>
      </w:pPr>
      <w:r>
        <w:t xml:space="preserve">Uisce </w:t>
      </w:r>
      <w:r w:rsidRPr="006B1883">
        <w:t>É</w:t>
      </w:r>
      <w:r>
        <w:t>ireann</w:t>
      </w:r>
      <w:r w:rsidR="00842E75">
        <w:t xml:space="preserve"> (UE)</w:t>
      </w:r>
      <w:r>
        <w:t xml:space="preserve"> (Irish Water)</w:t>
      </w:r>
    </w:p>
    <w:p w14:paraId="468F7BB0" w14:textId="3591B1FE" w:rsidR="00430A9E" w:rsidRDefault="00430A9E" w:rsidP="009354E9">
      <w:pPr>
        <w:pStyle w:val="ListParagraph"/>
        <w:numPr>
          <w:ilvl w:val="1"/>
          <w:numId w:val="5"/>
        </w:numPr>
        <w:jc w:val="both"/>
      </w:pPr>
      <w:r>
        <w:t>Transport Infrastructure Ireland (TII)</w:t>
      </w:r>
    </w:p>
    <w:p w14:paraId="4CA583DA" w14:textId="77777777" w:rsidR="00430A9E" w:rsidRPr="00430A9E" w:rsidRDefault="00790A15" w:rsidP="009354E9">
      <w:pPr>
        <w:pStyle w:val="ListParagraph"/>
        <w:numPr>
          <w:ilvl w:val="1"/>
          <w:numId w:val="5"/>
        </w:numPr>
      </w:pPr>
      <w:r w:rsidRPr="00430A9E">
        <w:t>Environmental Protection Agency (EPA)</w:t>
      </w:r>
    </w:p>
    <w:p w14:paraId="5DD1A63F" w14:textId="197F8888" w:rsidR="00430A9E" w:rsidRPr="00430A9E" w:rsidRDefault="00430A9E" w:rsidP="009354E9">
      <w:pPr>
        <w:pStyle w:val="ListParagraph"/>
        <w:numPr>
          <w:ilvl w:val="1"/>
          <w:numId w:val="5"/>
        </w:numPr>
      </w:pPr>
      <w:r w:rsidRPr="00430A9E">
        <w:t>Environmental Health Service (EHS)</w:t>
      </w:r>
    </w:p>
    <w:p w14:paraId="5A969493" w14:textId="76BA6C88" w:rsidR="00865095" w:rsidRDefault="005F1C70" w:rsidP="009354E9">
      <w:pPr>
        <w:pStyle w:val="ListParagraph"/>
        <w:numPr>
          <w:ilvl w:val="1"/>
          <w:numId w:val="5"/>
        </w:numPr>
      </w:pPr>
      <w:r>
        <w:t>Health Safety Authority (HSA)</w:t>
      </w:r>
    </w:p>
    <w:p w14:paraId="6B9294FB" w14:textId="31C62AD8" w:rsidR="00796C8A" w:rsidRDefault="002243E5" w:rsidP="00430A9E">
      <w:pPr>
        <w:jc w:val="both"/>
        <w:rPr>
          <w:rFonts w:ascii="Arial" w:hAnsi="Arial" w:cs="Arial"/>
          <w:sz w:val="24"/>
          <w:szCs w:val="24"/>
        </w:rPr>
      </w:pPr>
      <w:r>
        <w:rPr>
          <w:rFonts w:ascii="Arial" w:hAnsi="Arial" w:cs="Arial"/>
          <w:sz w:val="24"/>
          <w:szCs w:val="24"/>
        </w:rPr>
        <w:t>A summary of the Prescribed Bodies submission and the</w:t>
      </w:r>
      <w:r w:rsidRPr="00821E5F">
        <w:rPr>
          <w:rFonts w:ascii="Arial" w:hAnsi="Arial" w:cs="Arial"/>
          <w:sz w:val="24"/>
          <w:szCs w:val="24"/>
        </w:rPr>
        <w:t xml:space="preserve"> applicant</w:t>
      </w:r>
      <w:r>
        <w:rPr>
          <w:rFonts w:ascii="Arial" w:hAnsi="Arial" w:cs="Arial"/>
          <w:sz w:val="24"/>
          <w:szCs w:val="24"/>
        </w:rPr>
        <w:t>’s</w:t>
      </w:r>
      <w:r w:rsidRPr="00821E5F">
        <w:rPr>
          <w:rFonts w:ascii="Arial" w:hAnsi="Arial" w:cs="Arial"/>
          <w:sz w:val="24"/>
          <w:szCs w:val="24"/>
        </w:rPr>
        <w:t xml:space="preserve"> response </w:t>
      </w:r>
      <w:r>
        <w:rPr>
          <w:rFonts w:ascii="Arial" w:hAnsi="Arial" w:cs="Arial"/>
          <w:sz w:val="24"/>
          <w:szCs w:val="24"/>
        </w:rPr>
        <w:t>is outlined below.</w:t>
      </w:r>
    </w:p>
    <w:p w14:paraId="75CDA77C" w14:textId="77777777" w:rsidR="00430A9E" w:rsidRPr="00D52D3E" w:rsidRDefault="00430A9E" w:rsidP="007664D5">
      <w:pPr>
        <w:pStyle w:val="Heading3"/>
      </w:pPr>
      <w:r w:rsidRPr="00BC5C11">
        <w:t>Uisce</w:t>
      </w:r>
      <w:r>
        <w:t xml:space="preserve"> </w:t>
      </w:r>
      <w:r w:rsidRPr="00BC5C11">
        <w:rPr>
          <w:color w:val="212529"/>
          <w:shd w:val="clear" w:color="auto" w:fill="FFFFFF"/>
        </w:rPr>
        <w:t>É</w:t>
      </w:r>
      <w:r w:rsidRPr="00BC5C11">
        <w:t>ireann</w:t>
      </w:r>
      <w:r w:rsidRPr="00D52D3E">
        <w:t xml:space="preserve"> (Irish Water)</w:t>
      </w:r>
    </w:p>
    <w:p w14:paraId="6D9F371B" w14:textId="2CC10D13" w:rsidR="00430A9E" w:rsidRPr="00E144DE" w:rsidRDefault="00430A9E" w:rsidP="00E144DE">
      <w:pPr>
        <w:pStyle w:val="Heading4"/>
      </w:pPr>
      <w:r w:rsidRPr="003F657B">
        <w:rPr>
          <w:b/>
        </w:rPr>
        <w:t>Support of Renewable Electricity Generation</w:t>
      </w:r>
      <w:r w:rsidRPr="00E144DE">
        <w:t xml:space="preserve"> - Uisce Éireann (UÉ) acknowledges the importance of proposals to support the security of electricity power supply and continued expansion of Ireland</w:t>
      </w:r>
      <w:r w:rsidR="002A2E89">
        <w:t>’</w:t>
      </w:r>
      <w:r w:rsidRPr="00E144DE">
        <w:t>s renewable generation capacity and will provide essential support to the electricity supply system at times of peak demand and at times when other electricity generation are not sufficient to meet demand.</w:t>
      </w:r>
    </w:p>
    <w:p w14:paraId="1011F8C7" w14:textId="5AF07A64" w:rsidR="00430A9E" w:rsidRPr="00E144DE" w:rsidRDefault="00430A9E" w:rsidP="00E144DE">
      <w:pPr>
        <w:pStyle w:val="Heading4"/>
      </w:pPr>
      <w:r w:rsidRPr="00E144DE">
        <w:rPr>
          <w:b/>
          <w:bCs/>
        </w:rPr>
        <w:t>Application Documentation</w:t>
      </w:r>
      <w:r w:rsidRPr="00E144DE">
        <w:t xml:space="preserve"> – </w:t>
      </w:r>
      <w:r w:rsidR="001432AB" w:rsidRPr="00E144DE">
        <w:t xml:space="preserve">Uisce </w:t>
      </w:r>
      <w:r w:rsidR="006F5539" w:rsidRPr="006B1883">
        <w:t>É</w:t>
      </w:r>
      <w:r w:rsidR="006F5539">
        <w:t>ireann</w:t>
      </w:r>
      <w:r w:rsidR="001432AB" w:rsidRPr="00E144DE">
        <w:t xml:space="preserve"> has reviewed the </w:t>
      </w:r>
      <w:r w:rsidRPr="00E144DE">
        <w:t>EIAR Non-Technical Summary Sections 12.4 and 13.4, EIAR Chapter 12 – Water, Chapter 13 – Land and Soils, Section 5.2.5 ‘Water Supply’ of Environmental Appraisal Report.</w:t>
      </w:r>
    </w:p>
    <w:p w14:paraId="1C81A869" w14:textId="77777777" w:rsidR="00430A9E" w:rsidRDefault="00430A9E" w:rsidP="00E144DE">
      <w:pPr>
        <w:pStyle w:val="Heading4"/>
      </w:pPr>
      <w:r w:rsidRPr="009C0EEE">
        <w:rPr>
          <w:b/>
          <w:bCs/>
        </w:rPr>
        <w:t>Water Requirement</w:t>
      </w:r>
      <w:r>
        <w:t xml:space="preserve"> – Proposed Development will require up to c. 150m3 per hour of demineralised water and c. 5,900m3 proposed firewater/water storage tank, which will need to be considered as part of U</w:t>
      </w:r>
      <w:r w:rsidRPr="006B1883">
        <w:t>É</w:t>
      </w:r>
      <w:r>
        <w:t xml:space="preserve">’s feasibility assessment. </w:t>
      </w:r>
    </w:p>
    <w:p w14:paraId="231D9A07" w14:textId="6EEA7166" w:rsidR="00430A9E" w:rsidRDefault="00430A9E" w:rsidP="00E144DE">
      <w:pPr>
        <w:pStyle w:val="Heading4"/>
      </w:pPr>
      <w:r w:rsidRPr="000E25A7">
        <w:rPr>
          <w:b/>
          <w:bCs/>
        </w:rPr>
        <w:t>Consultation</w:t>
      </w:r>
      <w:r>
        <w:t xml:space="preserve"> – U</w:t>
      </w:r>
      <w:r w:rsidRPr="006B1883">
        <w:t>É</w:t>
      </w:r>
      <w:r>
        <w:t xml:space="preserve"> notes that Applicant has not consulted with U</w:t>
      </w:r>
      <w:r w:rsidRPr="006B1883">
        <w:t>É</w:t>
      </w:r>
      <w:r>
        <w:t xml:space="preserve"> prior to submission of application, nor has a pre-connection enquiry (PCE)) outlining water demand profile </w:t>
      </w:r>
      <w:r>
        <w:lastRenderedPageBreak/>
        <w:t>been submitted.  U</w:t>
      </w:r>
      <w:r w:rsidRPr="006B1883">
        <w:t>É</w:t>
      </w:r>
      <w:r>
        <w:t xml:space="preserve"> state that due to intensification of use, a PCE will be required to be submitted to U</w:t>
      </w:r>
      <w:r w:rsidRPr="006B1883">
        <w:t>É</w:t>
      </w:r>
      <w:r>
        <w:t xml:space="preserve"> </w:t>
      </w:r>
      <w:proofErr w:type="gramStart"/>
      <w:r>
        <w:t>in order to</w:t>
      </w:r>
      <w:proofErr w:type="gramEnd"/>
      <w:r>
        <w:t xml:space="preserve"> assess feasibility of water supply and networks to cater for development.</w:t>
      </w:r>
      <w:r w:rsidR="00965A7C">
        <w:t xml:space="preserve">  </w:t>
      </w:r>
      <w:r>
        <w:t>U</w:t>
      </w:r>
      <w:r w:rsidRPr="006B1883">
        <w:t>É</w:t>
      </w:r>
      <w:r>
        <w:t xml:space="preserve"> noted that they were subsequently contacted by Applicant and provided with some details regarding water requirement.  U</w:t>
      </w:r>
      <w:r w:rsidRPr="006B1883">
        <w:t>É</w:t>
      </w:r>
      <w:r>
        <w:t xml:space="preserve"> noted that they have some concern with figures proposed, particularly what peak flows might be and the potential impacts on the reservoir storage as well as the impacts on existing watermains and networks.</w:t>
      </w:r>
    </w:p>
    <w:p w14:paraId="41AAB53E" w14:textId="77777777" w:rsidR="00430A9E" w:rsidRPr="00765BCA" w:rsidRDefault="00430A9E" w:rsidP="00E144DE">
      <w:pPr>
        <w:pStyle w:val="Heading4"/>
      </w:pPr>
      <w:r w:rsidRPr="00765BCA">
        <w:rPr>
          <w:b/>
          <w:bCs/>
        </w:rPr>
        <w:t xml:space="preserve">Further Information Request (FI) </w:t>
      </w:r>
      <w:r w:rsidRPr="00765BCA">
        <w:t xml:space="preserve">- UÉ requested FI to be sought from the Applicant </w:t>
      </w:r>
      <w:proofErr w:type="gramStart"/>
      <w:r w:rsidRPr="00765BCA">
        <w:t>in order to</w:t>
      </w:r>
      <w:proofErr w:type="gramEnd"/>
      <w:r w:rsidRPr="00765BCA">
        <w:t xml:space="preserve"> determine the feasibility of connection to the public water/wastewater infrastructure and ensure adequate provision of water and wastewater facilities by submitting a PCE to UÉ, the outcome of which is to be submitted as a response to the FI Request.  UÉ outlined the type of information required to be submitted with the PCE.</w:t>
      </w:r>
    </w:p>
    <w:p w14:paraId="4CF7D5ED" w14:textId="77777777" w:rsidR="00430A9E" w:rsidRDefault="00430A9E" w:rsidP="00430A9E">
      <w:pPr>
        <w:pStyle w:val="CBody2"/>
        <w:rPr>
          <w:b/>
          <w:bCs/>
        </w:rPr>
      </w:pPr>
      <w:r>
        <w:rPr>
          <w:b/>
          <w:bCs/>
        </w:rPr>
        <w:t xml:space="preserve">Applicants Response to </w:t>
      </w:r>
      <w:r w:rsidRPr="00BC5C11">
        <w:rPr>
          <w:b/>
          <w:bCs/>
        </w:rPr>
        <w:t>Uisce</w:t>
      </w:r>
      <w:r>
        <w:rPr>
          <w:b/>
          <w:bCs/>
        </w:rPr>
        <w:t xml:space="preserve"> </w:t>
      </w:r>
      <w:r w:rsidRPr="00BC5C11">
        <w:rPr>
          <w:b/>
          <w:bCs/>
          <w:color w:val="212529"/>
          <w:shd w:val="clear" w:color="auto" w:fill="FFFFFF"/>
        </w:rPr>
        <w:t>É</w:t>
      </w:r>
      <w:r w:rsidRPr="00BC5C11">
        <w:rPr>
          <w:b/>
          <w:bCs/>
        </w:rPr>
        <w:t>ireann</w:t>
      </w:r>
      <w:r w:rsidRPr="00D52D3E">
        <w:rPr>
          <w:b/>
          <w:bCs/>
        </w:rPr>
        <w:t xml:space="preserve"> (Irish Water)</w:t>
      </w:r>
    </w:p>
    <w:p w14:paraId="0C1811A5" w14:textId="60E33716" w:rsidR="00FD2050" w:rsidRDefault="00A80D07" w:rsidP="003F657B">
      <w:pPr>
        <w:pStyle w:val="BBody1"/>
        <w:numPr>
          <w:ilvl w:val="0"/>
          <w:numId w:val="0"/>
        </w:numPr>
        <w:jc w:val="both"/>
      </w:pPr>
      <w:r>
        <w:t xml:space="preserve">The applicant has responded to state that a Pre-Connection Enquiry form has been submitted to </w:t>
      </w:r>
      <w:r w:rsidRPr="00507D4C">
        <w:t xml:space="preserve">Uisce </w:t>
      </w:r>
      <w:r w:rsidR="00507D4C" w:rsidRPr="00507D4C">
        <w:rPr>
          <w:color w:val="212529"/>
          <w:shd w:val="clear" w:color="auto" w:fill="FFFFFF"/>
        </w:rPr>
        <w:t>É</w:t>
      </w:r>
      <w:r w:rsidR="00507D4C" w:rsidRPr="00507D4C">
        <w:t>ireann</w:t>
      </w:r>
      <w:r w:rsidRPr="00507D4C">
        <w:t xml:space="preserve"> with the requested information.</w:t>
      </w:r>
      <w:r w:rsidR="00507D4C" w:rsidRPr="00507D4C">
        <w:t xml:space="preserve">  The applicant states the proposed development does not require a new connection.  It will use the existing connection that previously supplied the Heavy Fuel Oil (HFO) plant on-site.  As acknowledged by Uis</w:t>
      </w:r>
      <w:r w:rsidR="00507D4C">
        <w:t>c</w:t>
      </w:r>
      <w:r w:rsidR="00507D4C" w:rsidRPr="00507D4C">
        <w:t xml:space="preserve">e </w:t>
      </w:r>
      <w:r w:rsidR="00507D4C" w:rsidRPr="00507D4C">
        <w:rPr>
          <w:color w:val="212529"/>
          <w:shd w:val="clear" w:color="auto" w:fill="FFFFFF"/>
        </w:rPr>
        <w:t>É</w:t>
      </w:r>
      <w:r w:rsidR="00507D4C" w:rsidRPr="00507D4C">
        <w:t>ireann</w:t>
      </w:r>
      <w:r w:rsidR="00E541EE">
        <w:t>, the water supply requirement for the proposed development will be significantly less than that for the HFO plant.</w:t>
      </w:r>
    </w:p>
    <w:p w14:paraId="26606382" w14:textId="5F7EDA3A" w:rsidR="00FD2050" w:rsidRPr="00D52D3E" w:rsidRDefault="00F021F3" w:rsidP="00FD2050">
      <w:pPr>
        <w:pStyle w:val="CBody2"/>
        <w:rPr>
          <w:b/>
          <w:bCs/>
        </w:rPr>
      </w:pPr>
      <w:r>
        <w:rPr>
          <w:b/>
          <w:bCs/>
        </w:rPr>
        <w:t>Transport Infrastructructure Ireland (TII)</w:t>
      </w:r>
    </w:p>
    <w:p w14:paraId="14627795" w14:textId="6C7B161E" w:rsidR="0064288E" w:rsidRDefault="00591B05" w:rsidP="00E144DE">
      <w:pPr>
        <w:pStyle w:val="Heading4"/>
        <w:rPr>
          <w:b/>
          <w:bCs/>
        </w:rPr>
      </w:pPr>
      <w:r>
        <w:rPr>
          <w:b/>
          <w:bCs/>
        </w:rPr>
        <w:t xml:space="preserve">Application Documentation – </w:t>
      </w:r>
      <w:r w:rsidRPr="006E7258">
        <w:t xml:space="preserve">TII notes Section 2.9 Traffic Management, </w:t>
      </w:r>
      <w:r w:rsidR="00971504" w:rsidRPr="006E7258">
        <w:t>Appendix 5A (CEMP), and Sections 1.5 &amp; 1.6 of Appendix 14B (CTMP)</w:t>
      </w:r>
      <w:r w:rsidR="000D3EC4" w:rsidRPr="006E7258">
        <w:t xml:space="preserve">, Section 15.5.4 of the EIAR in relation to </w:t>
      </w:r>
      <w:r w:rsidR="006E7258" w:rsidRPr="006E7258">
        <w:t>Haul Routes.</w:t>
      </w:r>
    </w:p>
    <w:p w14:paraId="5AD645EC" w14:textId="4E3B1D04" w:rsidR="00FD2050" w:rsidRPr="009A39D4" w:rsidRDefault="005F06B7" w:rsidP="00E144DE">
      <w:pPr>
        <w:pStyle w:val="Heading4"/>
        <w:rPr>
          <w:b/>
          <w:bCs/>
        </w:rPr>
      </w:pPr>
      <w:r>
        <w:rPr>
          <w:b/>
          <w:bCs/>
        </w:rPr>
        <w:t xml:space="preserve">Abnormal Load </w:t>
      </w:r>
      <w:r w:rsidR="00221EB5">
        <w:rPr>
          <w:b/>
          <w:bCs/>
        </w:rPr>
        <w:t>Haul Routes</w:t>
      </w:r>
      <w:r>
        <w:rPr>
          <w:b/>
          <w:bCs/>
        </w:rPr>
        <w:t xml:space="preserve"> </w:t>
      </w:r>
      <w:r w:rsidR="00FD2050">
        <w:rPr>
          <w:b/>
          <w:bCs/>
        </w:rPr>
        <w:t xml:space="preserve">– </w:t>
      </w:r>
      <w:r w:rsidR="006454F1">
        <w:t>TII not convinced that the Applicant has appropriately considered the requirements associated with transporting Component Haul Route in the EIAR</w:t>
      </w:r>
      <w:r w:rsidR="00AA58EB">
        <w:t>, especially with respect to a Dublin Port point of entry</w:t>
      </w:r>
      <w:r w:rsidR="0008090C">
        <w:t>.</w:t>
      </w:r>
      <w:r w:rsidR="00E951F7">
        <w:t xml:space="preserve">  </w:t>
      </w:r>
      <w:r w:rsidR="002A2E89">
        <w:t>The proposed haul route w</w:t>
      </w:r>
      <w:r w:rsidR="00E951F7">
        <w:t>ould have more impact than just Kerry County Council jurisdiction</w:t>
      </w:r>
      <w:r w:rsidR="00F04A48">
        <w:t>, especially for abnormal loads and potentially abnormal weights</w:t>
      </w:r>
      <w:r w:rsidR="0027630C">
        <w:t>.</w:t>
      </w:r>
    </w:p>
    <w:p w14:paraId="42BD4FA9" w14:textId="76027075" w:rsidR="009A39D4" w:rsidRPr="0008090C" w:rsidRDefault="009A39D4" w:rsidP="00E144DE">
      <w:pPr>
        <w:pStyle w:val="Heading4"/>
        <w:rPr>
          <w:b/>
          <w:bCs/>
        </w:rPr>
      </w:pPr>
      <w:r>
        <w:rPr>
          <w:b/>
          <w:bCs/>
        </w:rPr>
        <w:lastRenderedPageBreak/>
        <w:t xml:space="preserve">Technical Load Assessment – </w:t>
      </w:r>
      <w:r w:rsidRPr="009A39D4">
        <w:t>Concerned that no technical load assessment of structures appears to have been undertaken to support the proposed application.</w:t>
      </w:r>
      <w:r w:rsidR="00A313E2">
        <w:t xml:space="preserve">  Not clear in documentation </w:t>
      </w:r>
      <w:r w:rsidR="00766403">
        <w:t>if abnormal weight loads a</w:t>
      </w:r>
      <w:r w:rsidR="00A0447F">
        <w:t>re a feature of the proposed development.</w:t>
      </w:r>
    </w:p>
    <w:p w14:paraId="43E6151F" w14:textId="163E4FF6" w:rsidR="0008090C" w:rsidRPr="00C45267" w:rsidRDefault="0008090C" w:rsidP="00E144DE">
      <w:pPr>
        <w:pStyle w:val="Heading4"/>
        <w:rPr>
          <w:b/>
          <w:bCs/>
        </w:rPr>
      </w:pPr>
      <w:r>
        <w:rPr>
          <w:b/>
          <w:bCs/>
        </w:rPr>
        <w:t xml:space="preserve">Revised Construction Environmental Management Plan (CEMP) and Construction Traffic Management Plan (CTMP) – </w:t>
      </w:r>
      <w:r w:rsidRPr="00FF63CD">
        <w:t xml:space="preserve">TII </w:t>
      </w:r>
      <w:r w:rsidR="00FF63CD">
        <w:t xml:space="preserve">request </w:t>
      </w:r>
      <w:r w:rsidRPr="00FF63CD">
        <w:t xml:space="preserve">an updated CEMP and </w:t>
      </w:r>
      <w:r w:rsidR="00FF63CD" w:rsidRPr="00FF63CD">
        <w:t>CTMP prior to a decision being made on the application</w:t>
      </w:r>
      <w:r w:rsidR="00066B09">
        <w:t xml:space="preserve"> to address concerns relating to national road network maintenance and road safety</w:t>
      </w:r>
      <w:r w:rsidR="00C10B6D">
        <w:t xml:space="preserve">. TII have </w:t>
      </w:r>
      <w:r w:rsidR="00200218">
        <w:t>detailed</w:t>
      </w:r>
      <w:r w:rsidR="00946C04">
        <w:t xml:space="preserve"> TII </w:t>
      </w:r>
      <w:r w:rsidR="00200218">
        <w:t xml:space="preserve">requirements </w:t>
      </w:r>
      <w:r w:rsidR="00946C04">
        <w:t>for the Applicant in their submission.</w:t>
      </w:r>
    </w:p>
    <w:p w14:paraId="7758D7EC" w14:textId="55D8BCBD" w:rsidR="00FD2050" w:rsidRPr="00790A15" w:rsidRDefault="00C45267" w:rsidP="00E144DE">
      <w:pPr>
        <w:pStyle w:val="Heading4"/>
        <w:rPr>
          <w:b/>
          <w:bCs/>
        </w:rPr>
      </w:pPr>
      <w:r>
        <w:rPr>
          <w:b/>
          <w:bCs/>
        </w:rPr>
        <w:t xml:space="preserve">Mitigation Measures </w:t>
      </w:r>
      <w:r w:rsidR="001C4BF7">
        <w:rPr>
          <w:b/>
          <w:bCs/>
        </w:rPr>
        <w:t>–</w:t>
      </w:r>
      <w:r>
        <w:rPr>
          <w:b/>
          <w:bCs/>
        </w:rPr>
        <w:t xml:space="preserve"> </w:t>
      </w:r>
      <w:r w:rsidR="001C4BF7" w:rsidRPr="001C4BF7">
        <w:t>Mitigation measures identified by the Applicant should be included as conditions in any decision to grant permission.</w:t>
      </w:r>
    </w:p>
    <w:p w14:paraId="0CAEA14C" w14:textId="7B6A2C05" w:rsidR="00FD2050" w:rsidRPr="00790A15" w:rsidRDefault="00790A15" w:rsidP="00790A15">
      <w:pPr>
        <w:pStyle w:val="CBody2"/>
        <w:rPr>
          <w:b/>
          <w:bCs/>
        </w:rPr>
      </w:pPr>
      <w:r w:rsidRPr="00790A15">
        <w:rPr>
          <w:b/>
          <w:bCs/>
        </w:rPr>
        <w:t>Applicants Response to TII</w:t>
      </w:r>
    </w:p>
    <w:p w14:paraId="4284C33A" w14:textId="071E6F2F" w:rsidR="008C02D9" w:rsidRDefault="005F06B7" w:rsidP="002243E5">
      <w:pPr>
        <w:pStyle w:val="Heading4"/>
      </w:pPr>
      <w:r w:rsidRPr="00765BCA">
        <w:rPr>
          <w:b/>
          <w:bCs/>
        </w:rPr>
        <w:t>Abnormal Load Haulage Routes</w:t>
      </w:r>
      <w:r w:rsidR="00D57942" w:rsidRPr="00765BCA">
        <w:rPr>
          <w:b/>
          <w:bCs/>
        </w:rPr>
        <w:t xml:space="preserve"> &amp; </w:t>
      </w:r>
      <w:r w:rsidR="0009198A" w:rsidRPr="00765BCA">
        <w:rPr>
          <w:b/>
          <w:bCs/>
        </w:rPr>
        <w:t>Consultation</w:t>
      </w:r>
      <w:r w:rsidRPr="005F06B7">
        <w:t xml:space="preserve"> –</w:t>
      </w:r>
      <w:r>
        <w:t xml:space="preserve"> </w:t>
      </w:r>
      <w:r w:rsidR="00D44D71">
        <w:t xml:space="preserve">The Applicant has submitted an </w:t>
      </w:r>
      <w:r w:rsidR="004A084E">
        <w:t xml:space="preserve">Abnormal Loads Report with </w:t>
      </w:r>
      <w:r w:rsidR="00B37F80">
        <w:t xml:space="preserve">their </w:t>
      </w:r>
      <w:r w:rsidR="004A084E">
        <w:t xml:space="preserve">response.  </w:t>
      </w:r>
      <w:r w:rsidR="00935E43">
        <w:t xml:space="preserve">Report concludes that the transportation of abnormal loads required </w:t>
      </w:r>
      <w:r w:rsidR="00D20759">
        <w:t xml:space="preserve">is achievable using the existing road network from </w:t>
      </w:r>
      <w:proofErr w:type="spellStart"/>
      <w:r w:rsidR="00D20759">
        <w:t>Foynes</w:t>
      </w:r>
      <w:proofErr w:type="spellEnd"/>
      <w:r w:rsidR="00D20759">
        <w:t xml:space="preserve"> or Dublin Port.</w:t>
      </w:r>
      <w:r w:rsidR="003713F7">
        <w:t xml:space="preserve">  Deliveries will be undertaken in accordance with </w:t>
      </w:r>
      <w:r w:rsidR="00B72121">
        <w:t>the routes set out in the Abnormal Loads Report</w:t>
      </w:r>
      <w:r w:rsidR="00FC73C0">
        <w:t xml:space="preserve"> and in consultation with the PPP companies, </w:t>
      </w:r>
      <w:proofErr w:type="spellStart"/>
      <w:r w:rsidR="00FC73C0">
        <w:t>MMaRC</w:t>
      </w:r>
      <w:proofErr w:type="spellEnd"/>
      <w:r w:rsidR="00ED7D2F">
        <w:t xml:space="preserve"> Contractors and relevant road authorities.  This will be carried out in accordance with an updated </w:t>
      </w:r>
      <w:r w:rsidR="003B30FD">
        <w:t xml:space="preserve">Construction Traffic Management Plan </w:t>
      </w:r>
      <w:r w:rsidR="00B11AE1">
        <w:t xml:space="preserve">(CTMP) </w:t>
      </w:r>
      <w:r w:rsidR="0084711B">
        <w:t xml:space="preserve">which will be in accordance with requirements of TII, Kerry County Council, Limerick City &amp; County Council, An Garda Siochana and other relevant stakeholders </w:t>
      </w:r>
      <w:r w:rsidR="00B11AE1">
        <w:t>and</w:t>
      </w:r>
      <w:r w:rsidR="0084711B">
        <w:t xml:space="preserve"> a</w:t>
      </w:r>
      <w:r w:rsidR="00B11AE1">
        <w:t xml:space="preserve"> Construction Environmental Management Plan (CEMP), which will include final details confirmed with the </w:t>
      </w:r>
      <w:r w:rsidR="00B035EF">
        <w:t>road authorities and will be maintained as working documents throughout the course of the construction period.</w:t>
      </w:r>
      <w:r w:rsidR="007B3178">
        <w:t xml:space="preserve">  TII will be advised of all proposals agreed between the appointed contractor and relevant stakeholders.</w:t>
      </w:r>
    </w:p>
    <w:p w14:paraId="792F0813" w14:textId="07429EA1" w:rsidR="00207F1F" w:rsidRDefault="00B035EF" w:rsidP="0084711B">
      <w:pPr>
        <w:pStyle w:val="BBody1"/>
        <w:numPr>
          <w:ilvl w:val="0"/>
          <w:numId w:val="0"/>
        </w:numPr>
      </w:pPr>
      <w:r w:rsidRPr="00B035EF">
        <w:t>The applicant acknowledges that any damage caused to the existing road pavement due to turning movements related to deliveries will be rectified in accordance with TII Pavement Standards</w:t>
      </w:r>
      <w:r w:rsidRPr="00B035EF">
        <w:rPr>
          <w:rFonts w:asciiTheme="minorHAnsi" w:eastAsiaTheme="minorHAnsi" w:hAnsiTheme="minorHAnsi" w:cstheme="minorBidi"/>
          <w:sz w:val="22"/>
          <w:szCs w:val="22"/>
        </w:rPr>
        <w:t>.</w:t>
      </w:r>
      <w:r w:rsidR="00C72635">
        <w:t xml:space="preserve"> </w:t>
      </w:r>
    </w:p>
    <w:p w14:paraId="30784DFE" w14:textId="77777777" w:rsidR="009E7F0B" w:rsidRDefault="009E7F0B" w:rsidP="0084711B">
      <w:pPr>
        <w:pStyle w:val="BBody1"/>
        <w:numPr>
          <w:ilvl w:val="0"/>
          <w:numId w:val="0"/>
        </w:numPr>
      </w:pPr>
    </w:p>
    <w:p w14:paraId="6AC4B25F" w14:textId="77777777" w:rsidR="009E7F0B" w:rsidRPr="0084711B" w:rsidRDefault="009E7F0B" w:rsidP="0084711B">
      <w:pPr>
        <w:pStyle w:val="BBody1"/>
        <w:numPr>
          <w:ilvl w:val="0"/>
          <w:numId w:val="0"/>
        </w:numPr>
        <w:rPr>
          <w:rFonts w:asciiTheme="minorHAnsi" w:eastAsiaTheme="minorHAnsi" w:hAnsiTheme="minorHAnsi" w:cstheme="minorBidi"/>
          <w:sz w:val="22"/>
          <w:szCs w:val="22"/>
        </w:rPr>
      </w:pPr>
    </w:p>
    <w:p w14:paraId="6B134544" w14:textId="77777777" w:rsidR="00B17E01" w:rsidRPr="00D52D3E" w:rsidRDefault="00B17E01" w:rsidP="00B17E01">
      <w:pPr>
        <w:pStyle w:val="CBody2"/>
        <w:rPr>
          <w:b/>
          <w:bCs/>
        </w:rPr>
      </w:pPr>
      <w:r>
        <w:rPr>
          <w:b/>
          <w:bCs/>
        </w:rPr>
        <w:lastRenderedPageBreak/>
        <w:t>Environmental Protection Agency (EPA)</w:t>
      </w:r>
    </w:p>
    <w:p w14:paraId="4404E854" w14:textId="79558AC4" w:rsidR="00B17E01" w:rsidRPr="0013185F" w:rsidRDefault="00B17E01" w:rsidP="0013185F">
      <w:pPr>
        <w:pStyle w:val="Heading4"/>
        <w:rPr>
          <w:b/>
          <w:bCs/>
        </w:rPr>
      </w:pPr>
      <w:r>
        <w:rPr>
          <w:b/>
          <w:bCs/>
        </w:rPr>
        <w:t>Industrial Emissions (IE) Licence</w:t>
      </w:r>
      <w:r w:rsidR="00E23456">
        <w:rPr>
          <w:b/>
          <w:bCs/>
        </w:rPr>
        <w:t xml:space="preserve"> </w:t>
      </w:r>
      <w:r>
        <w:rPr>
          <w:b/>
          <w:bCs/>
        </w:rPr>
        <w:t xml:space="preserve">– </w:t>
      </w:r>
      <w:r>
        <w:t>SSE Generation Ireland Limited hold an IE Licence (Reg. No. P0607-02) for the installation located at Tarbert Generating Station, Tarbert, Listowel, County Kerry.  The licence is for the following activity: Class 2.1 of the EPA Act ‘</w:t>
      </w:r>
      <w:r w:rsidRPr="00DC4110">
        <w:rPr>
          <w:i/>
          <w:iCs/>
        </w:rPr>
        <w:t>Combustion of fuels in installations with a total rated thermal input of 50MW or more’</w:t>
      </w:r>
      <w:r>
        <w:rPr>
          <w:i/>
          <w:iCs/>
        </w:rPr>
        <w:t>.</w:t>
      </w:r>
      <w:r w:rsidR="00E23456">
        <w:rPr>
          <w:b/>
          <w:bCs/>
        </w:rPr>
        <w:t xml:space="preserve">  </w:t>
      </w:r>
      <w:r>
        <w:t>The licence may need to be reviewed or amended to accommodate the changes proposed in the SID application.  Note</w:t>
      </w:r>
      <w:r w:rsidR="0013185F">
        <w:t>d</w:t>
      </w:r>
      <w:r>
        <w:t xml:space="preserve"> that an EIAR has been submitted and it is likely that this will have to be considered by the EPA as part of any review of the IE licence.  All matters to do with emissions to the environment from the proposed activities will be assessed by the EPA.  </w:t>
      </w:r>
    </w:p>
    <w:p w14:paraId="0B51BA4E" w14:textId="77777777" w:rsidR="00B17E01" w:rsidRPr="00790A15" w:rsidRDefault="00B17E01" w:rsidP="00B17E01">
      <w:pPr>
        <w:pStyle w:val="CBody2"/>
        <w:rPr>
          <w:b/>
          <w:bCs/>
        </w:rPr>
      </w:pPr>
      <w:r w:rsidRPr="00790A15">
        <w:rPr>
          <w:b/>
          <w:bCs/>
        </w:rPr>
        <w:t>Applicants Response to EPA</w:t>
      </w:r>
    </w:p>
    <w:p w14:paraId="425A4104" w14:textId="7E052EF3" w:rsidR="00796C8A" w:rsidRPr="00796C8A" w:rsidRDefault="0013185F" w:rsidP="00C223EC">
      <w:pPr>
        <w:pStyle w:val="Heading4"/>
        <w:numPr>
          <w:ilvl w:val="0"/>
          <w:numId w:val="0"/>
        </w:numPr>
      </w:pPr>
      <w:r>
        <w:t>Applicant notes</w:t>
      </w:r>
      <w:r w:rsidR="0017050E">
        <w:t xml:space="preserve"> it has engaged with EPA in advice of this planning application being submitted and will continue to do so in advance of a license application being made.</w:t>
      </w:r>
    </w:p>
    <w:p w14:paraId="6BC13B84" w14:textId="3E6C5D80" w:rsidR="00234360" w:rsidRDefault="00234360" w:rsidP="00234360">
      <w:pPr>
        <w:pStyle w:val="CBody2"/>
        <w:rPr>
          <w:b/>
          <w:bCs/>
        </w:rPr>
      </w:pPr>
      <w:r>
        <w:rPr>
          <w:b/>
          <w:bCs/>
        </w:rPr>
        <w:t>Environmental Health Service (EHS)</w:t>
      </w:r>
    </w:p>
    <w:p w14:paraId="2D058CB3" w14:textId="6C270663" w:rsidR="00F30FBA" w:rsidRPr="005A074C" w:rsidRDefault="00F30FBA" w:rsidP="005A074C">
      <w:pPr>
        <w:pStyle w:val="CBody2"/>
        <w:numPr>
          <w:ilvl w:val="0"/>
          <w:numId w:val="0"/>
        </w:numPr>
        <w:jc w:val="both"/>
      </w:pPr>
      <w:r w:rsidRPr="005A074C">
        <w:t xml:space="preserve">The following documents were received from the </w:t>
      </w:r>
      <w:proofErr w:type="gramStart"/>
      <w:r w:rsidRPr="005A074C">
        <w:t>HSE;</w:t>
      </w:r>
      <w:proofErr w:type="gramEnd"/>
    </w:p>
    <w:p w14:paraId="47C6D13C" w14:textId="2DBAD5F2" w:rsidR="00F30FBA" w:rsidRPr="005A074C" w:rsidRDefault="002368DC" w:rsidP="009354E9">
      <w:pPr>
        <w:pStyle w:val="CBody2"/>
        <w:numPr>
          <w:ilvl w:val="0"/>
          <w:numId w:val="6"/>
        </w:numPr>
        <w:jc w:val="both"/>
      </w:pPr>
      <w:r w:rsidRPr="005A074C">
        <w:t>HSE Submission from the National Environmental Health Service</w:t>
      </w:r>
      <w:r w:rsidR="00423C5B">
        <w:t xml:space="preserve"> (NEHS)</w:t>
      </w:r>
    </w:p>
    <w:p w14:paraId="653CD676" w14:textId="37165F0C" w:rsidR="008D0186" w:rsidRDefault="002368DC" w:rsidP="00704D63">
      <w:pPr>
        <w:pStyle w:val="CBody2"/>
        <w:numPr>
          <w:ilvl w:val="0"/>
          <w:numId w:val="6"/>
        </w:numPr>
        <w:jc w:val="both"/>
      </w:pPr>
      <w:r w:rsidRPr="005A074C">
        <w:t>HSE South Emergency Management (a) HSE South Emergency Consultation Report</w:t>
      </w:r>
      <w:r w:rsidR="005A074C" w:rsidRPr="005A074C">
        <w:t xml:space="preserve"> (b) ETHANE Aide Memoire</w:t>
      </w:r>
    </w:p>
    <w:p w14:paraId="6B1CBE2F" w14:textId="703984CA" w:rsidR="005A074C" w:rsidRPr="00205F71" w:rsidRDefault="00780ABA" w:rsidP="005A074C">
      <w:pPr>
        <w:pStyle w:val="CBody2"/>
        <w:numPr>
          <w:ilvl w:val="0"/>
          <w:numId w:val="0"/>
        </w:numPr>
        <w:jc w:val="both"/>
        <w:rPr>
          <w:b/>
          <w:bCs/>
          <w:u w:val="single"/>
        </w:rPr>
      </w:pPr>
      <w:r w:rsidRPr="00205F71">
        <w:rPr>
          <w:b/>
          <w:bCs/>
          <w:u w:val="single"/>
        </w:rPr>
        <w:t xml:space="preserve">HSE Submission Report – Environmental Health </w:t>
      </w:r>
      <w:r w:rsidR="00205F71" w:rsidRPr="00205F71">
        <w:rPr>
          <w:b/>
          <w:bCs/>
          <w:u w:val="single"/>
        </w:rPr>
        <w:t xml:space="preserve">Service </w:t>
      </w:r>
      <w:r w:rsidR="00FF1816">
        <w:rPr>
          <w:b/>
          <w:bCs/>
          <w:u w:val="single"/>
        </w:rPr>
        <w:t>C</w:t>
      </w:r>
      <w:r w:rsidR="00205F71" w:rsidRPr="00205F71">
        <w:rPr>
          <w:b/>
          <w:bCs/>
          <w:u w:val="single"/>
        </w:rPr>
        <w:t>onsultation Report</w:t>
      </w:r>
    </w:p>
    <w:p w14:paraId="13EDC9BB" w14:textId="77777777" w:rsidR="005A5104" w:rsidRDefault="00F957EA" w:rsidP="00AB464B">
      <w:pPr>
        <w:pStyle w:val="Heading4"/>
      </w:pPr>
      <w:r>
        <w:rPr>
          <w:b/>
          <w:bCs/>
        </w:rPr>
        <w:t>Public Consultation &amp; Non</w:t>
      </w:r>
      <w:r w:rsidRPr="00F957EA">
        <w:t>-</w:t>
      </w:r>
      <w:r w:rsidRPr="00F957EA">
        <w:rPr>
          <w:b/>
          <w:bCs/>
        </w:rPr>
        <w:t>Technical Summary (NTS)</w:t>
      </w:r>
      <w:r>
        <w:t xml:space="preserve"> </w:t>
      </w:r>
      <w:r w:rsidR="0037528C">
        <w:t>–</w:t>
      </w:r>
      <w:r>
        <w:t xml:space="preserve"> </w:t>
      </w:r>
      <w:r w:rsidR="00C67910">
        <w:t xml:space="preserve">NEHS recommend that </w:t>
      </w:r>
      <w:r w:rsidR="008C7D9F">
        <w:t xml:space="preserve">the dedicated Community Liaison Officer or other designed person remain in place throughout </w:t>
      </w:r>
      <w:r w:rsidR="00AB7D58">
        <w:t>all phases of the development including decommissioning to act as a focal point for community feedback.</w:t>
      </w:r>
    </w:p>
    <w:p w14:paraId="219BC6B2" w14:textId="541902AC" w:rsidR="003D1EB6" w:rsidRDefault="00AA7B96" w:rsidP="00AB464B">
      <w:pPr>
        <w:pStyle w:val="Heading4"/>
      </w:pPr>
      <w:r>
        <w:rPr>
          <w:b/>
          <w:bCs/>
        </w:rPr>
        <w:t xml:space="preserve">Population and Human Health </w:t>
      </w:r>
      <w:r w:rsidR="006F76B5">
        <w:rPr>
          <w:b/>
          <w:bCs/>
        </w:rPr>
        <w:t xml:space="preserve">&amp; Waste </w:t>
      </w:r>
      <w:r w:rsidR="00420491">
        <w:t>–</w:t>
      </w:r>
      <w:r>
        <w:t xml:space="preserve"> </w:t>
      </w:r>
      <w:r w:rsidR="006F76B5">
        <w:t xml:space="preserve">Population and Human Health assessed </w:t>
      </w:r>
      <w:r w:rsidR="00420491">
        <w:t>in Chapter 15 of EIAR</w:t>
      </w:r>
      <w:r w:rsidR="00956DB7">
        <w:t>, drawing on findings from other chapters.</w:t>
      </w:r>
      <w:r w:rsidR="00423C5B">
        <w:t xml:space="preserve"> NEHS</w:t>
      </w:r>
      <w:r w:rsidR="0037528C">
        <w:t xml:space="preserve"> </w:t>
      </w:r>
      <w:r w:rsidR="00A41121">
        <w:t>recommends</w:t>
      </w:r>
      <w:r w:rsidR="0098416F">
        <w:t xml:space="preserve"> Chapter 18 Waste Management is included </w:t>
      </w:r>
      <w:r w:rsidR="00C372F5">
        <w:t>as a relevant chapter in the context of population and human health.</w:t>
      </w:r>
      <w:r w:rsidR="001A1CC2">
        <w:t xml:space="preserve"> </w:t>
      </w:r>
      <w:r w:rsidR="00A40775">
        <w:t xml:space="preserve"> </w:t>
      </w:r>
      <w:r w:rsidR="00E179D2" w:rsidRPr="001A1CC2">
        <w:rPr>
          <w:b/>
          <w:bCs/>
        </w:rPr>
        <w:t xml:space="preserve">Waste </w:t>
      </w:r>
      <w:r w:rsidR="001A1CC2" w:rsidRPr="001A1CC2">
        <w:rPr>
          <w:b/>
          <w:bCs/>
        </w:rPr>
        <w:t>-</w:t>
      </w:r>
      <w:r w:rsidR="001A1CC2">
        <w:t xml:space="preserve"> </w:t>
      </w:r>
      <w:r w:rsidR="00E179D2" w:rsidRPr="00E179D2">
        <w:rPr>
          <w:b/>
          <w:bCs/>
        </w:rPr>
        <w:t>Chapter 18 of the EIAR.</w:t>
      </w:r>
      <w:r w:rsidR="00E179D2">
        <w:t xml:space="preserve"> </w:t>
      </w:r>
      <w:r w:rsidR="00A40775">
        <w:t xml:space="preserve">Management of </w:t>
      </w:r>
      <w:r w:rsidR="00A40775">
        <w:lastRenderedPageBreak/>
        <w:t>waste is</w:t>
      </w:r>
      <w:r w:rsidR="005E3C63">
        <w:t xml:space="preserve"> relevant to the control of potential vectors of disease including rodents, </w:t>
      </w:r>
      <w:proofErr w:type="gramStart"/>
      <w:r w:rsidR="005E3C63">
        <w:t>flies</w:t>
      </w:r>
      <w:proofErr w:type="gramEnd"/>
      <w:r w:rsidR="005E3C63">
        <w:t xml:space="preserve"> and potential invasive species of mosquito.</w:t>
      </w:r>
    </w:p>
    <w:p w14:paraId="2E26229E" w14:textId="7AD7618C" w:rsidR="008260CA" w:rsidRDefault="008260CA" w:rsidP="00AB464B">
      <w:pPr>
        <w:pStyle w:val="Heading4"/>
      </w:pPr>
      <w:r>
        <w:rPr>
          <w:b/>
          <w:bCs/>
        </w:rPr>
        <w:t xml:space="preserve">Traffic </w:t>
      </w:r>
      <w:r>
        <w:t>– The NEHS recommends consideration of traffic impacts during holiday periods when use of the Killimer – Tarbert ferry is likely to be at heightened capacity.</w:t>
      </w:r>
    </w:p>
    <w:p w14:paraId="7F527D50" w14:textId="0B957046" w:rsidR="004A4A60" w:rsidRDefault="00384DF9" w:rsidP="00384DF9">
      <w:pPr>
        <w:pStyle w:val="Heading4"/>
      </w:pPr>
      <w:r>
        <w:rPr>
          <w:b/>
          <w:bCs/>
        </w:rPr>
        <w:t>Human Health</w:t>
      </w:r>
      <w:r w:rsidR="00A85E08">
        <w:rPr>
          <w:b/>
          <w:bCs/>
        </w:rPr>
        <w:t xml:space="preserve"> </w:t>
      </w:r>
      <w:r w:rsidR="00A85E08">
        <w:t xml:space="preserve">– </w:t>
      </w:r>
      <w:r w:rsidR="00A85E08" w:rsidRPr="004A4A60">
        <w:rPr>
          <w:b/>
          <w:bCs/>
        </w:rPr>
        <w:t>Chapter 11 of EIAR</w:t>
      </w:r>
      <w:r w:rsidR="00405CA1" w:rsidRPr="004A4A60">
        <w:rPr>
          <w:b/>
          <w:bCs/>
        </w:rPr>
        <w:t>.</w:t>
      </w:r>
      <w:r w:rsidR="00405CA1">
        <w:t xml:space="preserve">  NEHS recommends that the mitigation measures </w:t>
      </w:r>
      <w:r w:rsidR="00D23A40">
        <w:t>outlined in 11.6.1 and 11.6.2 of the EIAR are conditioned on any grant of permission.</w:t>
      </w:r>
      <w:r w:rsidR="00AC14D3">
        <w:t xml:space="preserve">  Monitoring at </w:t>
      </w:r>
      <w:r w:rsidR="00D27425">
        <w:t>N</w:t>
      </w:r>
      <w:r w:rsidR="00AC14D3">
        <w:t xml:space="preserve">oise </w:t>
      </w:r>
      <w:r w:rsidR="00D27425">
        <w:t>S</w:t>
      </w:r>
      <w:r w:rsidR="00AC14D3">
        <w:t xml:space="preserve">ensitive </w:t>
      </w:r>
      <w:r w:rsidR="00D27425">
        <w:t>R</w:t>
      </w:r>
      <w:r w:rsidR="00AC14D3">
        <w:t>eceptors (NSR)</w:t>
      </w:r>
      <w:r w:rsidR="00AE7F8A">
        <w:t xml:space="preserve"> locations is recommended to take place at day, </w:t>
      </w:r>
      <w:proofErr w:type="gramStart"/>
      <w:r w:rsidR="00AE7F8A">
        <w:t>evening</w:t>
      </w:r>
      <w:proofErr w:type="gramEnd"/>
      <w:r w:rsidR="00AE7F8A">
        <w:t xml:space="preserve"> and nighttime periods to ensure compliance.</w:t>
      </w:r>
      <w:r w:rsidR="00381012">
        <w:t xml:space="preserve">  The NEHS recommend there is </w:t>
      </w:r>
      <w:r w:rsidR="00952843">
        <w:t>an accessible way for the local community to make complaints regarding noise and other health protection issues during all phases of development.</w:t>
      </w:r>
      <w:r>
        <w:t xml:space="preserve">  </w:t>
      </w:r>
    </w:p>
    <w:p w14:paraId="307DD667" w14:textId="7DBE0F00" w:rsidR="00952843" w:rsidRDefault="000D3FBD" w:rsidP="00CB11AE">
      <w:pPr>
        <w:pStyle w:val="DBodyNonum"/>
      </w:pPr>
      <w:r w:rsidRPr="004A4A60">
        <w:rPr>
          <w:b/>
          <w:bCs/>
        </w:rPr>
        <w:t>Chapter 7 of EIAR.</w:t>
      </w:r>
      <w:r w:rsidR="00C842F1">
        <w:t xml:space="preserve">  </w:t>
      </w:r>
      <w:r w:rsidR="001B0F54">
        <w:t xml:space="preserve">NEHS recommend that dust control measures </w:t>
      </w:r>
      <w:r w:rsidR="00781603">
        <w:t xml:space="preserve">contained within the </w:t>
      </w:r>
      <w:r w:rsidR="001B0F54">
        <w:t>CEM</w:t>
      </w:r>
      <w:r w:rsidR="00781603">
        <w:t>P</w:t>
      </w:r>
      <w:r w:rsidR="001B0F54">
        <w:t xml:space="preserve"> </w:t>
      </w:r>
      <w:r w:rsidR="00C81C2C">
        <w:t>and those</w:t>
      </w:r>
      <w:r w:rsidR="00781603">
        <w:t xml:space="preserve"> mitigation measures</w:t>
      </w:r>
      <w:r w:rsidR="00C81C2C">
        <w:t xml:space="preserve"> listed under Chapter 7, Section 7.5.1.3</w:t>
      </w:r>
      <w:r w:rsidR="00687A3F">
        <w:t xml:space="preserve"> are conditioned on any grant of permission.</w:t>
      </w:r>
    </w:p>
    <w:p w14:paraId="129BA17C" w14:textId="122F3360" w:rsidR="00D132B6" w:rsidRDefault="00687A3F" w:rsidP="008F323F">
      <w:pPr>
        <w:pStyle w:val="Heading4"/>
      </w:pPr>
      <w:r>
        <w:rPr>
          <w:b/>
          <w:bCs/>
        </w:rPr>
        <w:t>Climate</w:t>
      </w:r>
      <w:r w:rsidR="0094007E">
        <w:rPr>
          <w:b/>
          <w:bCs/>
        </w:rPr>
        <w:t xml:space="preserve"> </w:t>
      </w:r>
      <w:r w:rsidR="00A61FD4">
        <w:t xml:space="preserve">– </w:t>
      </w:r>
      <w:r w:rsidR="00A61FD4" w:rsidRPr="0094007E">
        <w:rPr>
          <w:b/>
          <w:bCs/>
        </w:rPr>
        <w:t>Chapter 17 of EIAR.</w:t>
      </w:r>
      <w:r w:rsidR="00A61FD4">
        <w:t xml:space="preserve">  </w:t>
      </w:r>
      <w:r w:rsidR="00B31C69">
        <w:t xml:space="preserve">NEHS recommend </w:t>
      </w:r>
      <w:r w:rsidR="00EA2D21">
        <w:t xml:space="preserve">that the proposed development aim to minimise Green House Gas (GHG) emissions </w:t>
      </w:r>
      <w:r w:rsidR="002B7240">
        <w:t>to the maximum extent feasible, e.g. Active Travel for staff</w:t>
      </w:r>
      <w:r w:rsidR="00D132B6">
        <w:t>, utilization of zero or near zero emission vehicles during all phases, harvesting rainwater and incorporation of renewable energy sources.</w:t>
      </w:r>
      <w:r w:rsidR="00DD7409">
        <w:t xml:space="preserve">  </w:t>
      </w:r>
      <w:r w:rsidR="00442957">
        <w:t xml:space="preserve">The NEHS recommend the proposed development go beyond flood defence and seek </w:t>
      </w:r>
      <w:r w:rsidR="008B414E">
        <w:t>ways to develop health promotion opportunities</w:t>
      </w:r>
      <w:r w:rsidR="00E52108">
        <w:t>, for example</w:t>
      </w:r>
      <w:r w:rsidR="0003034D">
        <w:t>,</w:t>
      </w:r>
      <w:r w:rsidR="00F153BF">
        <w:t xml:space="preserve"> creating shade to limit the urban heat island effect</w:t>
      </w:r>
      <w:r w:rsidR="00663B72">
        <w:t xml:space="preserve">, creation of cycle and walking paths to support active travel, sustainable </w:t>
      </w:r>
      <w:proofErr w:type="gramStart"/>
      <w:r w:rsidR="00663B72">
        <w:t>drainage</w:t>
      </w:r>
      <w:proofErr w:type="gramEnd"/>
      <w:r w:rsidR="00663B72">
        <w:t xml:space="preserve"> and waste management systems</w:t>
      </w:r>
      <w:r w:rsidR="00E52108">
        <w:t>, and harvesting o</w:t>
      </w:r>
      <w:r w:rsidR="0003034D">
        <w:t xml:space="preserve">f rainwater to reduce demand on treated public water </w:t>
      </w:r>
      <w:r w:rsidR="00A34038">
        <w:t>and as an adaptation to heat drought conditions.</w:t>
      </w:r>
    </w:p>
    <w:p w14:paraId="7731FB2C" w14:textId="371C99A1" w:rsidR="001D6453" w:rsidRPr="00CB11AE" w:rsidRDefault="001D6453" w:rsidP="00CB11AE">
      <w:pPr>
        <w:pStyle w:val="DBodyNonum"/>
        <w:rPr>
          <w:b/>
          <w:bCs/>
          <w:u w:val="single"/>
        </w:rPr>
      </w:pPr>
      <w:r w:rsidRPr="00CB11AE">
        <w:rPr>
          <w:b/>
          <w:bCs/>
          <w:u w:val="single"/>
        </w:rPr>
        <w:t>HSE South Emerg</w:t>
      </w:r>
      <w:r w:rsidR="00253BFA" w:rsidRPr="00CB11AE">
        <w:rPr>
          <w:b/>
          <w:bCs/>
          <w:u w:val="single"/>
        </w:rPr>
        <w:t>ency Management Consultation Report</w:t>
      </w:r>
      <w:r w:rsidR="0046587A" w:rsidRPr="00CB11AE">
        <w:rPr>
          <w:b/>
          <w:bCs/>
          <w:u w:val="single"/>
        </w:rPr>
        <w:t xml:space="preserve"> &amp; ETHANE Aide</w:t>
      </w:r>
      <w:r w:rsidR="0073138E" w:rsidRPr="00CB11AE">
        <w:rPr>
          <w:b/>
          <w:bCs/>
          <w:u w:val="single"/>
        </w:rPr>
        <w:t xml:space="preserve"> Memoire</w:t>
      </w:r>
      <w:r w:rsidR="0046587A" w:rsidRPr="00CB11AE">
        <w:rPr>
          <w:b/>
          <w:bCs/>
          <w:u w:val="single"/>
        </w:rPr>
        <w:t xml:space="preserve"> </w:t>
      </w:r>
    </w:p>
    <w:p w14:paraId="377EDD07" w14:textId="2CAFE879" w:rsidR="00253BFA" w:rsidRPr="00062675" w:rsidRDefault="00886AB1" w:rsidP="000079ED">
      <w:pPr>
        <w:pStyle w:val="Heading4"/>
        <w:rPr>
          <w:b/>
          <w:bCs/>
          <w:u w:val="single"/>
        </w:rPr>
      </w:pPr>
      <w:r w:rsidRPr="00886AB1">
        <w:rPr>
          <w:b/>
          <w:bCs/>
        </w:rPr>
        <w:t>ETHANE -</w:t>
      </w:r>
      <w:r>
        <w:t xml:space="preserve"> </w:t>
      </w:r>
      <w:r w:rsidR="00FC2A23">
        <w:t>For Site Operations, d</w:t>
      </w:r>
      <w:r w:rsidR="00A07034">
        <w:t>etails provided in relation to ETHANE in the event of an incident occurring</w:t>
      </w:r>
      <w:r w:rsidR="00E47A05">
        <w:t xml:space="preserve">, high visibility signage to be provided, </w:t>
      </w:r>
      <w:r w:rsidR="00EF6F1C">
        <w:t xml:space="preserve">procedure for evacuation of personnel to be in place, identification of </w:t>
      </w:r>
      <w:r w:rsidR="00EC2FEA">
        <w:t xml:space="preserve">any crucial/vulnerable facilitates within the </w:t>
      </w:r>
      <w:r w:rsidR="00EC2FEA">
        <w:lastRenderedPageBreak/>
        <w:t>vicinity,</w:t>
      </w:r>
      <w:r w:rsidR="009751BE">
        <w:t xml:space="preserve"> development of a business continuity plan</w:t>
      </w:r>
      <w:r w:rsidR="008943B1">
        <w:t xml:space="preserve"> which includes a plan for severe weather</w:t>
      </w:r>
      <w:r w:rsidR="00A64E3A">
        <w:t>.</w:t>
      </w:r>
    </w:p>
    <w:p w14:paraId="6B7DB543" w14:textId="6211B3FE" w:rsidR="00234360" w:rsidRDefault="00234360" w:rsidP="00234360">
      <w:pPr>
        <w:pStyle w:val="CBody2"/>
        <w:rPr>
          <w:b/>
          <w:bCs/>
        </w:rPr>
      </w:pPr>
      <w:r w:rsidRPr="00790A15">
        <w:rPr>
          <w:b/>
          <w:bCs/>
        </w:rPr>
        <w:t xml:space="preserve">Applicants Response to </w:t>
      </w:r>
      <w:r w:rsidR="0043018C">
        <w:rPr>
          <w:b/>
          <w:bCs/>
        </w:rPr>
        <w:t>EHS</w:t>
      </w:r>
    </w:p>
    <w:p w14:paraId="6A933FD1" w14:textId="2E3D5F7F" w:rsidR="00062675" w:rsidRDefault="00CC272C" w:rsidP="00CC272C">
      <w:pPr>
        <w:pStyle w:val="Heading4"/>
      </w:pPr>
      <w:r w:rsidRPr="00CC272C">
        <w:rPr>
          <w:b/>
          <w:bCs/>
        </w:rPr>
        <w:t>Community Liaison Officer (CLO)</w:t>
      </w:r>
      <w:r>
        <w:t xml:space="preserve"> – </w:t>
      </w:r>
      <w:r w:rsidR="00097C8E">
        <w:t>The applicant has stated that a dedicated CLO will be in place for the full course of the proposed development</w:t>
      </w:r>
      <w:r w:rsidR="00842E02">
        <w:t>.</w:t>
      </w:r>
    </w:p>
    <w:p w14:paraId="4A62D426" w14:textId="79B0F589" w:rsidR="00574A72" w:rsidRDefault="00574A72" w:rsidP="00574A72">
      <w:pPr>
        <w:pStyle w:val="Heading4"/>
      </w:pPr>
      <w:r w:rsidRPr="00574A72">
        <w:rPr>
          <w:b/>
          <w:bCs/>
        </w:rPr>
        <w:t>Waste Management</w:t>
      </w:r>
      <w:r>
        <w:t xml:space="preserve"> </w:t>
      </w:r>
      <w:r w:rsidR="004D5A8A">
        <w:t>–</w:t>
      </w:r>
      <w:r>
        <w:t xml:space="preserve"> </w:t>
      </w:r>
      <w:r w:rsidR="004D5A8A">
        <w:t>The applicant notes that existing waste management and pest control measures on site are effective and will be maintained throughout the course of the Proposed Development.  In addition, a Pest/Vector Control Plan will be included as part of the updated CEMP</w:t>
      </w:r>
      <w:r w:rsidR="00420506">
        <w:t>.</w:t>
      </w:r>
    </w:p>
    <w:p w14:paraId="55F762B3" w14:textId="2E593AAA" w:rsidR="00445349" w:rsidRDefault="00445349" w:rsidP="00077E43">
      <w:pPr>
        <w:pStyle w:val="Heading4"/>
      </w:pPr>
      <w:r>
        <w:rPr>
          <w:b/>
          <w:bCs/>
        </w:rPr>
        <w:t xml:space="preserve">Traffic </w:t>
      </w:r>
      <w:r w:rsidR="00C644C8">
        <w:t>–</w:t>
      </w:r>
      <w:r>
        <w:t xml:space="preserve"> </w:t>
      </w:r>
      <w:r w:rsidR="00C644C8">
        <w:t xml:space="preserve">In terms of </w:t>
      </w:r>
      <w:r w:rsidR="00077E43">
        <w:t>traffic safety, the applicant notes that there is an existing ‘yellow box’ road marking at the main entrance to the site</w:t>
      </w:r>
      <w:r w:rsidR="008372E6">
        <w:t xml:space="preserve"> on the N67, which prevents traffic queueing for the ferry from blocking the entrance to the site.  Also, alternative access to the site will be possible from the existing access point to the west, should ferry traffic during peak holiday periods become disruptive to construction traffic movements or vice versa.</w:t>
      </w:r>
    </w:p>
    <w:p w14:paraId="2010C3CE" w14:textId="7A130195" w:rsidR="00CC272C" w:rsidRDefault="00413029" w:rsidP="00CC272C">
      <w:pPr>
        <w:pStyle w:val="Heading4"/>
      </w:pPr>
      <w:r w:rsidRPr="00413029">
        <w:rPr>
          <w:b/>
          <w:bCs/>
        </w:rPr>
        <w:t>Human Health</w:t>
      </w:r>
      <w:r>
        <w:t xml:space="preserve"> </w:t>
      </w:r>
      <w:r w:rsidR="006B4664">
        <w:t>–</w:t>
      </w:r>
      <w:r>
        <w:t xml:space="preserve"> </w:t>
      </w:r>
      <w:r w:rsidR="008B0D53">
        <w:t>Applicant welcomes</w:t>
      </w:r>
      <w:r w:rsidR="006B4664">
        <w:t xml:space="preserve"> a condition regarding mi</w:t>
      </w:r>
      <w:r w:rsidR="008B0D53">
        <w:t>tigation measures listed under sections 11.6.1 and 11.6.2 of the EIAR</w:t>
      </w:r>
      <w:r w:rsidR="007F2A5F">
        <w:t xml:space="preserve">, </w:t>
      </w:r>
      <w:r w:rsidR="00D7306C">
        <w:t>noise monitoring</w:t>
      </w:r>
      <w:r w:rsidR="00E071A5">
        <w:t xml:space="preserve">, Air Quality and Dust listed under </w:t>
      </w:r>
      <w:r w:rsidR="00384DF9">
        <w:t>Section 7.5.1.3</w:t>
      </w:r>
      <w:r w:rsidR="008B0D53">
        <w:t>.</w:t>
      </w:r>
      <w:r w:rsidR="00190C99">
        <w:t xml:space="preserve">  The applicant notes a CLO will be appointed </w:t>
      </w:r>
      <w:r w:rsidR="00702C1C">
        <w:t>as a critical link between the project team and the local community.</w:t>
      </w:r>
    </w:p>
    <w:p w14:paraId="3AED2ECD" w14:textId="5949459A" w:rsidR="00BA0578" w:rsidRPr="00274C16" w:rsidRDefault="0094007E" w:rsidP="00274C16">
      <w:pPr>
        <w:pStyle w:val="Heading4"/>
      </w:pPr>
      <w:r w:rsidRPr="007B5770">
        <w:rPr>
          <w:b/>
          <w:bCs/>
        </w:rPr>
        <w:t>Climate</w:t>
      </w:r>
      <w:r>
        <w:t xml:space="preserve"> </w:t>
      </w:r>
      <w:r w:rsidR="008B3723">
        <w:t>–</w:t>
      </w:r>
      <w:r>
        <w:t xml:space="preserve"> </w:t>
      </w:r>
      <w:r w:rsidR="008B3723">
        <w:t xml:space="preserve">Under SSE’s </w:t>
      </w:r>
      <w:r w:rsidR="00092064">
        <w:t xml:space="preserve">environmental governance and policies, the applicant is working to actively manage its </w:t>
      </w:r>
      <w:r w:rsidR="009E66BA">
        <w:t>environmental footprint</w:t>
      </w:r>
      <w:r w:rsidR="00734487">
        <w:t xml:space="preserve">. For a </w:t>
      </w:r>
      <w:r w:rsidR="009E66BA">
        <w:t>Large Capital Project, SSE is committed to achieving no ‘net loss’ in biodiversity from 2023, and ‘net gain’ in biodiversity from 2025</w:t>
      </w:r>
      <w:r w:rsidR="003F505C">
        <w:t>.  A biodiversity enhancement plan will be developed across the full Tarbert Island s</w:t>
      </w:r>
      <w:r w:rsidR="009E1BBA">
        <w:t xml:space="preserve">ite.  </w:t>
      </w:r>
      <w:r w:rsidR="00AC065D">
        <w:t xml:space="preserve">As part of this they will </w:t>
      </w:r>
      <w:r w:rsidR="005C3539">
        <w:t xml:space="preserve">look for opportunities to promote health gain.  </w:t>
      </w:r>
      <w:r w:rsidR="009E1BBA">
        <w:t xml:space="preserve">GHG emissions will be minimised </w:t>
      </w:r>
      <w:proofErr w:type="gramStart"/>
      <w:r w:rsidR="009E1BBA">
        <w:t>through the use of</w:t>
      </w:r>
      <w:proofErr w:type="gramEnd"/>
      <w:r w:rsidR="009E1BBA">
        <w:t xml:space="preserve"> BAT (‘Best Available Techniques’)</w:t>
      </w:r>
      <w:r w:rsidR="00E4310E">
        <w:t xml:space="preserve"> combustion technology and sustainable, </w:t>
      </w:r>
      <w:r w:rsidR="00144EF7">
        <w:t xml:space="preserve">certified </w:t>
      </w:r>
      <w:r w:rsidR="00E4310E">
        <w:t>low carbon HVO fuel</w:t>
      </w:r>
      <w:r w:rsidR="00144EF7">
        <w:t>.</w:t>
      </w:r>
      <w:r w:rsidR="00274C16">
        <w:t xml:space="preserve">  </w:t>
      </w:r>
      <w:r w:rsidR="00BA0578" w:rsidRPr="00274C16">
        <w:t>The applicant notes that the submitted climate change resilience assessment covers both sudden onset (e</w:t>
      </w:r>
      <w:r w:rsidR="00BA0578" w:rsidRPr="00274C16">
        <w:rPr>
          <w:rFonts w:asciiTheme="minorHAnsi" w:eastAsiaTheme="minorHAnsi" w:hAnsiTheme="minorHAnsi" w:cstheme="minorBidi"/>
          <w:sz w:val="22"/>
          <w:szCs w:val="22"/>
        </w:rPr>
        <w:t>.</w:t>
      </w:r>
      <w:r w:rsidR="00BA0578" w:rsidRPr="00274C16">
        <w:t>g. flood, storm events) and slow onset (e.g. rising temperatures) climate change risks in Chapter 17 and appendix 17A of the submitted EIAR.</w:t>
      </w:r>
    </w:p>
    <w:p w14:paraId="4A3AD9B0" w14:textId="1C99045C" w:rsidR="00CC272C" w:rsidRPr="00CC272C" w:rsidRDefault="000A793A" w:rsidP="00CC272C">
      <w:pPr>
        <w:pStyle w:val="Heading4"/>
      </w:pPr>
      <w:r w:rsidRPr="004358BF">
        <w:rPr>
          <w:b/>
          <w:bCs/>
        </w:rPr>
        <w:lastRenderedPageBreak/>
        <w:t>ETHANE</w:t>
      </w:r>
      <w:r w:rsidR="004358BF">
        <w:t xml:space="preserve"> </w:t>
      </w:r>
      <w:r w:rsidR="009B1C2B">
        <w:t>–</w:t>
      </w:r>
      <w:r w:rsidR="004358BF">
        <w:t xml:space="preserve"> </w:t>
      </w:r>
      <w:r w:rsidR="009B1C2B">
        <w:t xml:space="preserve">Applicant noted details of </w:t>
      </w:r>
      <w:r w:rsidR="005A1E44">
        <w:t>requirements from H</w:t>
      </w:r>
      <w:r w:rsidR="00A06562">
        <w:t>S</w:t>
      </w:r>
      <w:r w:rsidR="005A1E44">
        <w:t>E South Emerg</w:t>
      </w:r>
      <w:r w:rsidR="00A06562">
        <w:t>ency Management.</w:t>
      </w:r>
    </w:p>
    <w:p w14:paraId="2E04155C" w14:textId="77777777" w:rsidR="00062675" w:rsidRPr="00253904" w:rsidRDefault="00062675" w:rsidP="00062675">
      <w:pPr>
        <w:pStyle w:val="CBody2"/>
        <w:rPr>
          <w:b/>
          <w:bCs/>
        </w:rPr>
      </w:pPr>
      <w:r w:rsidRPr="00253904">
        <w:rPr>
          <w:b/>
          <w:bCs/>
        </w:rPr>
        <w:t>Health Safety Authority (HSA)</w:t>
      </w:r>
    </w:p>
    <w:p w14:paraId="5EBCE4AE" w14:textId="08103F73" w:rsidR="009D5F1F" w:rsidRPr="009D5F1F" w:rsidRDefault="00661964" w:rsidP="009D5F1F">
      <w:pPr>
        <w:pStyle w:val="Heading4"/>
      </w:pPr>
      <w:r w:rsidRPr="00661964">
        <w:rPr>
          <w:b/>
          <w:bCs/>
        </w:rPr>
        <w:t xml:space="preserve">HSA </w:t>
      </w:r>
      <w:proofErr w:type="gramStart"/>
      <w:r w:rsidRPr="00661964">
        <w:rPr>
          <w:b/>
          <w:bCs/>
        </w:rPr>
        <w:t>Advices</w:t>
      </w:r>
      <w:proofErr w:type="gramEnd"/>
      <w:r>
        <w:t xml:space="preserve"> - To fully understand advices given in submission, advised to r</w:t>
      </w:r>
      <w:r w:rsidR="003B0841" w:rsidRPr="00B8741D">
        <w:t>efer to policy</w:t>
      </w:r>
      <w:r w:rsidR="00A40FCF" w:rsidRPr="00B8741D">
        <w:t xml:space="preserve"> document ‘</w:t>
      </w:r>
      <w:r w:rsidR="00A40FCF" w:rsidRPr="00661964">
        <w:rPr>
          <w:i/>
          <w:iCs/>
        </w:rPr>
        <w:t>Policy</w:t>
      </w:r>
      <w:r w:rsidRPr="00661964">
        <w:rPr>
          <w:i/>
          <w:iCs/>
        </w:rPr>
        <w:t xml:space="preserve"> </w:t>
      </w:r>
      <w:r w:rsidR="00A40FCF" w:rsidRPr="00661964">
        <w:rPr>
          <w:i/>
          <w:iCs/>
        </w:rPr>
        <w:t xml:space="preserve">&amp; Approach of the Health and Safety Authority to COMAH Risk-based Land-use </w:t>
      </w:r>
      <w:r w:rsidR="00E02DFF" w:rsidRPr="00661964">
        <w:rPr>
          <w:i/>
          <w:iCs/>
        </w:rPr>
        <w:t>Planning’</w:t>
      </w:r>
      <w:r w:rsidR="00B8741D">
        <w:t>.</w:t>
      </w:r>
      <w:r w:rsidR="0052636B">
        <w:t xml:space="preserve">  The a</w:t>
      </w:r>
      <w:r w:rsidR="00987E21" w:rsidRPr="00112ABB">
        <w:t xml:space="preserve">pplication </w:t>
      </w:r>
      <w:r w:rsidR="0052636B">
        <w:t>is c</w:t>
      </w:r>
      <w:r w:rsidR="00987E21" w:rsidRPr="00112ABB">
        <w:t>overed by Regulation 24(2) (b)</w:t>
      </w:r>
      <w:r w:rsidR="00112ABB" w:rsidRPr="00112ABB">
        <w:t xml:space="preserve"> of S.I. 209 of 2015</w:t>
      </w:r>
      <w:r w:rsidR="00FF4036">
        <w:t xml:space="preserve"> relating to </w:t>
      </w:r>
      <w:r w:rsidR="004D12E3">
        <w:t>t</w:t>
      </w:r>
      <w:r w:rsidR="007735C6">
        <w:t>echnical advice on land-use planning.</w:t>
      </w:r>
      <w:r w:rsidR="00786A51">
        <w:t xml:space="preserve">  </w:t>
      </w:r>
      <w:r w:rsidR="00253904">
        <w:t>It is noted that t</w:t>
      </w:r>
      <w:r w:rsidR="00422937">
        <w:t xml:space="preserve">he HSA </w:t>
      </w:r>
      <w:r w:rsidR="00422937" w:rsidRPr="00786A51">
        <w:rPr>
          <w:b/>
          <w:bCs/>
          <w:u w:val="single"/>
        </w:rPr>
        <w:t>does not advise against</w:t>
      </w:r>
      <w:r w:rsidR="00422937">
        <w:t xml:space="preserve"> the granting</w:t>
      </w:r>
      <w:r w:rsidR="00CD5DA2">
        <w:t xml:space="preserve"> of planning permission in the context of major accidents hazards</w:t>
      </w:r>
      <w:r w:rsidR="002A4886">
        <w:t xml:space="preserve">.  </w:t>
      </w:r>
      <w:r w:rsidR="00E65FBE">
        <w:t xml:space="preserve">The advice is based on the specific circumstances of the proposed development at this </w:t>
      </w:r>
      <w:proofErr w:type="gramStart"/>
      <w:r w:rsidR="00E65FBE">
        <w:t>period of time</w:t>
      </w:r>
      <w:proofErr w:type="gramEnd"/>
      <w:r w:rsidR="00E65FBE">
        <w:t>.</w:t>
      </w:r>
      <w:r w:rsidR="00786A51">
        <w:t xml:space="preserve">  </w:t>
      </w:r>
      <w:r w:rsidR="009B6784">
        <w:t>It is noted that future development around COMAH establishments has the potential to impact on the expansion of those establishments</w:t>
      </w:r>
      <w:r w:rsidR="00B26CEE">
        <w:t>.</w:t>
      </w:r>
    </w:p>
    <w:p w14:paraId="43CCF6EA" w14:textId="5A67D414" w:rsidR="00062675" w:rsidRDefault="00062675" w:rsidP="007C56C7">
      <w:pPr>
        <w:pStyle w:val="CBody2"/>
        <w:rPr>
          <w:b/>
          <w:bCs/>
        </w:rPr>
      </w:pPr>
      <w:r w:rsidRPr="00253904">
        <w:rPr>
          <w:b/>
          <w:bCs/>
        </w:rPr>
        <w:t xml:space="preserve">Applicants Response to </w:t>
      </w:r>
      <w:r w:rsidR="007C56C7">
        <w:rPr>
          <w:b/>
          <w:bCs/>
        </w:rPr>
        <w:t>HS</w:t>
      </w:r>
      <w:r w:rsidR="007F0558">
        <w:rPr>
          <w:b/>
          <w:bCs/>
        </w:rPr>
        <w:t>A</w:t>
      </w:r>
    </w:p>
    <w:p w14:paraId="31310BEC" w14:textId="34380539" w:rsidR="00865095" w:rsidRPr="004B5C94" w:rsidRDefault="007F0558" w:rsidP="00865095">
      <w:pPr>
        <w:pStyle w:val="Heading4"/>
      </w:pPr>
      <w:r>
        <w:t>Applicant welcomes advise that the HS</w:t>
      </w:r>
      <w:r w:rsidR="00822BB8">
        <w:t>A</w:t>
      </w:r>
      <w:r>
        <w:t xml:space="preserve"> </w:t>
      </w:r>
      <w:r w:rsidRPr="007F0558">
        <w:rPr>
          <w:b/>
          <w:bCs/>
          <w:u w:val="single"/>
        </w:rPr>
        <w:t>do</w:t>
      </w:r>
      <w:r>
        <w:rPr>
          <w:b/>
          <w:bCs/>
          <w:u w:val="single"/>
        </w:rPr>
        <w:t>es</w:t>
      </w:r>
      <w:r w:rsidRPr="007F0558">
        <w:rPr>
          <w:b/>
          <w:bCs/>
          <w:u w:val="single"/>
        </w:rPr>
        <w:t xml:space="preserve"> not advise against</w:t>
      </w:r>
      <w:r>
        <w:t xml:space="preserve"> the granting of planning permission.</w:t>
      </w:r>
    </w:p>
    <w:p w14:paraId="2107F1C1" w14:textId="77777777" w:rsidR="00E40DCA" w:rsidRPr="004B5C94" w:rsidRDefault="000F3BD8" w:rsidP="00DA75C9">
      <w:pPr>
        <w:pStyle w:val="Heading2"/>
        <w:jc w:val="both"/>
      </w:pPr>
      <w:bookmarkStart w:id="37" w:name="_Toc950637"/>
      <w:r w:rsidRPr="004B5C94">
        <w:t>Third Party Observations</w:t>
      </w:r>
      <w:bookmarkEnd w:id="37"/>
    </w:p>
    <w:p w14:paraId="2107F1C2" w14:textId="625F5EA0" w:rsidR="00E40DCA" w:rsidRPr="004077C5" w:rsidRDefault="00B53890" w:rsidP="00C541C9">
      <w:pPr>
        <w:pStyle w:val="DBodyNonum"/>
      </w:pPr>
      <w:r w:rsidRPr="004077C5">
        <w:t xml:space="preserve">In total </w:t>
      </w:r>
      <w:r w:rsidR="00F13FF1" w:rsidRPr="004077C5">
        <w:t>three</w:t>
      </w:r>
      <w:r w:rsidRPr="004077C5">
        <w:t xml:space="preserve"> submissions were received from third parties.  </w:t>
      </w:r>
    </w:p>
    <w:p w14:paraId="32654615" w14:textId="4D5EE1CD" w:rsidR="00822BB8" w:rsidRDefault="00F77849" w:rsidP="00C541C9">
      <w:pPr>
        <w:pStyle w:val="DBodyNonum"/>
      </w:pPr>
      <w:r w:rsidRPr="004077C5">
        <w:t xml:space="preserve">The Applicant </w:t>
      </w:r>
      <w:r w:rsidRPr="00C541C9">
        <w:t>responded</w:t>
      </w:r>
      <w:r w:rsidRPr="004077C5">
        <w:t xml:space="preserve"> to the Third-party Observations in a submission dated </w:t>
      </w:r>
      <w:r w:rsidR="004077C5" w:rsidRPr="004077C5">
        <w:t>6</w:t>
      </w:r>
      <w:r w:rsidR="004077C5" w:rsidRPr="004077C5">
        <w:rPr>
          <w:vertAlign w:val="superscript"/>
        </w:rPr>
        <w:t>th</w:t>
      </w:r>
      <w:r w:rsidR="004077C5" w:rsidRPr="004077C5">
        <w:t xml:space="preserve"> March 2024</w:t>
      </w:r>
      <w:r w:rsidRPr="004077C5">
        <w:t>.</w:t>
      </w:r>
      <w:r w:rsidR="005279BE">
        <w:t xml:space="preserve">  </w:t>
      </w:r>
      <w:r w:rsidRPr="004077C5">
        <w:t>The third-part</w:t>
      </w:r>
      <w:r w:rsidR="003728F5" w:rsidRPr="004077C5">
        <w:t>y</w:t>
      </w:r>
      <w:r w:rsidRPr="004077C5">
        <w:t xml:space="preserve"> submission received, and Applicants response may be broadly summarised as </w:t>
      </w:r>
      <w:proofErr w:type="gramStart"/>
      <w:r w:rsidRPr="004077C5">
        <w:t>follows</w:t>
      </w:r>
      <w:r w:rsidR="00C541C9">
        <w:t>;</w:t>
      </w:r>
      <w:proofErr w:type="gramEnd"/>
    </w:p>
    <w:p w14:paraId="277BA2F5" w14:textId="551C3812" w:rsidR="008B65BD" w:rsidRDefault="005A43A4" w:rsidP="008B65BD">
      <w:pPr>
        <w:pStyle w:val="CBody2"/>
        <w:rPr>
          <w:b/>
          <w:bCs/>
        </w:rPr>
      </w:pPr>
      <w:r>
        <w:rPr>
          <w:b/>
          <w:bCs/>
        </w:rPr>
        <w:t>Tarbert Development Association</w:t>
      </w:r>
    </w:p>
    <w:p w14:paraId="138FE9DE" w14:textId="774915BA" w:rsidR="00A9194D" w:rsidRPr="00C541C9" w:rsidRDefault="00A9194D" w:rsidP="00C541C9">
      <w:pPr>
        <w:pStyle w:val="DBodyNonum"/>
      </w:pPr>
      <w:r w:rsidRPr="00C541C9">
        <w:t>Supportive submission, welcoming the OCGT plant on the exist</w:t>
      </w:r>
      <w:r w:rsidR="0088185B" w:rsidRPr="00C541C9">
        <w:t>ing</w:t>
      </w:r>
      <w:r w:rsidR="00BB307A" w:rsidRPr="00C541C9">
        <w:t xml:space="preserve"> site</w:t>
      </w:r>
      <w:r w:rsidR="0088185B" w:rsidRPr="00C541C9">
        <w:t xml:space="preserve"> and the resultant employment benefits it would bring.</w:t>
      </w:r>
      <w:r w:rsidR="005D20D0" w:rsidRPr="00C541C9">
        <w:t xml:space="preserve">  Look forward to a cleaner greener e</w:t>
      </w:r>
      <w:r w:rsidR="00E202F8" w:rsidRPr="00C541C9">
        <w:t>nvironment in the years ahead.</w:t>
      </w:r>
    </w:p>
    <w:p w14:paraId="3072141E" w14:textId="77777777" w:rsidR="006F22B2" w:rsidRDefault="00487896" w:rsidP="00786A51">
      <w:pPr>
        <w:pStyle w:val="Heading4"/>
      </w:pPr>
      <w:r>
        <w:rPr>
          <w:b/>
          <w:bCs/>
        </w:rPr>
        <w:t>Visual Impact</w:t>
      </w:r>
      <w:r w:rsidR="008B65BD">
        <w:t xml:space="preserve"> </w:t>
      </w:r>
      <w:r>
        <w:t>–</w:t>
      </w:r>
      <w:r w:rsidR="008B65BD">
        <w:t xml:space="preserve"> </w:t>
      </w:r>
      <w:r>
        <w:t xml:space="preserve">Due to the </w:t>
      </w:r>
      <w:proofErr w:type="gramStart"/>
      <w:r>
        <w:t>sites</w:t>
      </w:r>
      <w:proofErr w:type="gramEnd"/>
      <w:r>
        <w:t xml:space="preserve"> location within the boundary of the SSE Tarbert Power station site </w:t>
      </w:r>
      <w:r w:rsidR="001535CE">
        <w:t xml:space="preserve">which was developed in the 1960’s by the ESB, </w:t>
      </w:r>
      <w:r w:rsidR="008C34C2">
        <w:t>there should be little or no visual impact from the</w:t>
      </w:r>
      <w:r w:rsidR="006F22B2">
        <w:t xml:space="preserve"> </w:t>
      </w:r>
      <w:r w:rsidR="008C34C2">
        <w:t>proposed development.</w:t>
      </w:r>
    </w:p>
    <w:p w14:paraId="7B425869" w14:textId="73CF9B42" w:rsidR="009E64E1" w:rsidRDefault="005B085C" w:rsidP="00786A51">
      <w:pPr>
        <w:pStyle w:val="Heading4"/>
      </w:pPr>
      <w:r w:rsidRPr="005B085C">
        <w:rPr>
          <w:b/>
          <w:bCs/>
        </w:rPr>
        <w:lastRenderedPageBreak/>
        <w:t xml:space="preserve">Emissions, </w:t>
      </w:r>
      <w:r w:rsidR="006F22B2" w:rsidRPr="005B085C">
        <w:rPr>
          <w:b/>
          <w:bCs/>
        </w:rPr>
        <w:t xml:space="preserve">Noise and Waste </w:t>
      </w:r>
      <w:r w:rsidRPr="005B085C">
        <w:rPr>
          <w:b/>
          <w:bCs/>
        </w:rPr>
        <w:t>Impact</w:t>
      </w:r>
      <w:r>
        <w:t xml:space="preserve"> </w:t>
      </w:r>
      <w:r w:rsidR="006F22B2">
        <w:t xml:space="preserve">– Should be </w:t>
      </w:r>
      <w:r>
        <w:t>greatly reduced</w:t>
      </w:r>
      <w:r w:rsidR="0069578B">
        <w:t xml:space="preserve"> as the Plant will only operate at times when power from renewable sources is not able to meet dem</w:t>
      </w:r>
      <w:r w:rsidR="00DA75C9">
        <w:t>and.</w:t>
      </w:r>
    </w:p>
    <w:p w14:paraId="42B966D1" w14:textId="256A929D" w:rsidR="00DA75C9" w:rsidRDefault="00DA75C9" w:rsidP="00786A51">
      <w:pPr>
        <w:pStyle w:val="Heading4"/>
      </w:pPr>
      <w:r w:rsidRPr="003F68EF">
        <w:rPr>
          <w:b/>
          <w:bCs/>
        </w:rPr>
        <w:t xml:space="preserve">Biodiversity </w:t>
      </w:r>
      <w:r w:rsidR="00BA53DD">
        <w:t>–</w:t>
      </w:r>
      <w:r>
        <w:t xml:space="preserve"> </w:t>
      </w:r>
      <w:r w:rsidR="00BA53DD">
        <w:t xml:space="preserve">Site </w:t>
      </w:r>
      <w:proofErr w:type="gramStart"/>
      <w:r w:rsidR="00BA53DD">
        <w:t>in close proximity to</w:t>
      </w:r>
      <w:proofErr w:type="gramEnd"/>
      <w:r w:rsidR="00BA53DD">
        <w:t xml:space="preserve"> European Sites, hence important </w:t>
      </w:r>
      <w:r w:rsidR="003F68EF">
        <w:t>that all Mitigation Measures as set out in Section 9.6 of the application be implemented in full.</w:t>
      </w:r>
    </w:p>
    <w:p w14:paraId="36E9E7BC" w14:textId="43B209C5" w:rsidR="00E22240" w:rsidRDefault="00E22240" w:rsidP="00786A51">
      <w:pPr>
        <w:pStyle w:val="Heading4"/>
      </w:pPr>
      <w:r w:rsidRPr="00E22240">
        <w:rPr>
          <w:b/>
          <w:bCs/>
        </w:rPr>
        <w:t xml:space="preserve">Traffic </w:t>
      </w:r>
      <w:r>
        <w:t xml:space="preserve">– No information </w:t>
      </w:r>
      <w:r w:rsidR="006D6F36">
        <w:t xml:space="preserve">provided </w:t>
      </w:r>
      <w:r>
        <w:t xml:space="preserve">in Chapter 14 </w:t>
      </w:r>
      <w:r w:rsidR="00EC035C">
        <w:t xml:space="preserve">about traffic movements </w:t>
      </w:r>
      <w:r w:rsidR="006D6F36">
        <w:t>through Tarbert town.</w:t>
      </w:r>
      <w:r w:rsidR="00F02C6F">
        <w:t xml:space="preserve">  Concern about construction traffic and impact on Tarbert.</w:t>
      </w:r>
      <w:r w:rsidR="00F42C75">
        <w:t xml:space="preserve">  Requested Kerry County Council implement </w:t>
      </w:r>
      <w:r w:rsidR="00F3373F">
        <w:t xml:space="preserve">traffic management suggestions </w:t>
      </w:r>
      <w:r w:rsidR="002C5262">
        <w:t xml:space="preserve">from an Urban Design </w:t>
      </w:r>
      <w:proofErr w:type="gramStart"/>
      <w:r w:rsidR="002C5262">
        <w:t>Framework(</w:t>
      </w:r>
      <w:proofErr w:type="gramEnd"/>
      <w:r w:rsidR="002C5262">
        <w:t xml:space="preserve">UDF) </w:t>
      </w:r>
      <w:r w:rsidR="00F3373F">
        <w:t xml:space="preserve">prepared </w:t>
      </w:r>
      <w:r w:rsidR="002C5262">
        <w:t>in 2008</w:t>
      </w:r>
      <w:r w:rsidR="00A9194D">
        <w:t xml:space="preserve"> for Tarbert</w:t>
      </w:r>
      <w:r w:rsidR="002C5262">
        <w:t>.</w:t>
      </w:r>
    </w:p>
    <w:p w14:paraId="530871C7" w14:textId="3482E4DE" w:rsidR="00E202F8" w:rsidRDefault="00E202F8" w:rsidP="00DE55C4">
      <w:pPr>
        <w:pStyle w:val="CBody2"/>
        <w:rPr>
          <w:b/>
          <w:bCs/>
        </w:rPr>
      </w:pPr>
      <w:r w:rsidRPr="00DE55C4">
        <w:rPr>
          <w:b/>
          <w:bCs/>
        </w:rPr>
        <w:t>Applicants Response to Tarbert Development Association</w:t>
      </w:r>
    </w:p>
    <w:p w14:paraId="4EAF794C" w14:textId="21ED33C2" w:rsidR="0089263A" w:rsidRDefault="004F57AE" w:rsidP="003321A8">
      <w:pPr>
        <w:pStyle w:val="Heading4"/>
      </w:pPr>
      <w:r>
        <w:t>The applicant noted and agreed with the points made by Tarbert Development Association</w:t>
      </w:r>
      <w:r w:rsidR="00210191">
        <w:t>.  In relation to traffic, the applicant notes that there will be minimal traffic generated during the operational phase</w:t>
      </w:r>
      <w:r w:rsidR="00E3038C">
        <w:t>, while there will be higher volumes generated during the construction phase.  The implementation of the CTMP will ensure the impact is not significant including f</w:t>
      </w:r>
      <w:r w:rsidR="003321A8">
        <w:t>lows within the town.</w:t>
      </w:r>
    </w:p>
    <w:p w14:paraId="1845B0E2" w14:textId="1CAF7D5A" w:rsidR="00AA69C0" w:rsidRPr="000955FD" w:rsidRDefault="00181FEA" w:rsidP="00AA69C0">
      <w:pPr>
        <w:pStyle w:val="CBody2"/>
        <w:rPr>
          <w:b/>
          <w:bCs/>
        </w:rPr>
      </w:pPr>
      <w:r w:rsidRPr="000955FD">
        <w:rPr>
          <w:b/>
          <w:bCs/>
        </w:rPr>
        <w:t xml:space="preserve">Cllr </w:t>
      </w:r>
      <w:r w:rsidR="00FF5680" w:rsidRPr="000955FD">
        <w:rPr>
          <w:b/>
          <w:bCs/>
        </w:rPr>
        <w:t>Michael Foley</w:t>
      </w:r>
    </w:p>
    <w:p w14:paraId="449F821A" w14:textId="2C02D446" w:rsidR="00AA69C0" w:rsidRDefault="00AA69C0" w:rsidP="006D6640">
      <w:pPr>
        <w:pStyle w:val="DBodyNonum"/>
      </w:pPr>
      <w:r w:rsidRPr="00BB307A">
        <w:t>Supportive submission</w:t>
      </w:r>
      <w:r w:rsidR="00261E3B">
        <w:t xml:space="preserve"> </w:t>
      </w:r>
      <w:r w:rsidR="00E77FC0">
        <w:t xml:space="preserve">for the proposed development.  Discusses </w:t>
      </w:r>
      <w:r w:rsidR="00261E3B">
        <w:t xml:space="preserve">the </w:t>
      </w:r>
      <w:r w:rsidR="000448A4">
        <w:t xml:space="preserve">historical </w:t>
      </w:r>
      <w:r w:rsidR="00261E3B">
        <w:t xml:space="preserve">background </w:t>
      </w:r>
      <w:r w:rsidR="000448A4">
        <w:t>of the site</w:t>
      </w:r>
      <w:r w:rsidR="003F4D9E">
        <w:t xml:space="preserve"> in relation to generating electricity</w:t>
      </w:r>
      <w:r w:rsidR="00E77FC0">
        <w:t xml:space="preserve"> </w:t>
      </w:r>
      <w:r w:rsidR="00B92254">
        <w:t>since</w:t>
      </w:r>
      <w:r w:rsidR="00E77FC0">
        <w:t xml:space="preserve"> the 1960’s</w:t>
      </w:r>
      <w:r w:rsidR="000448A4">
        <w:t xml:space="preserve">.  The submission notes that the site is brownfield and one of nine locations supported for industrial development in the Strategic Integrated Framework Plan (SIFP) for the Shannon Estuary </w:t>
      </w:r>
      <w:r w:rsidR="00A26F08">
        <w:t xml:space="preserve">published in 2013. </w:t>
      </w:r>
      <w:r w:rsidR="00FF4886">
        <w:t xml:space="preserve"> County and Local Policy</w:t>
      </w:r>
      <w:r w:rsidR="00FA2488">
        <w:t xml:space="preserve"> </w:t>
      </w:r>
      <w:r w:rsidR="006A14EA">
        <w:t>note the importance of the site for industrial development.</w:t>
      </w:r>
      <w:r w:rsidR="00C15FDD">
        <w:t xml:space="preserve">  Also</w:t>
      </w:r>
      <w:r w:rsidR="00674815">
        <w:t>,</w:t>
      </w:r>
      <w:r w:rsidR="00C15FDD">
        <w:t xml:space="preserve"> the Kerry County Development Plan (KCDP) notes that the availability of energy is of critical importance to </w:t>
      </w:r>
      <w:r w:rsidR="00AB1733">
        <w:t xml:space="preserve">the continued development and expansion of employment in the </w:t>
      </w:r>
      <w:r w:rsidR="005279BE">
        <w:t>C</w:t>
      </w:r>
      <w:r w:rsidR="00AB1733">
        <w:t>ounty and that it is vital that th</w:t>
      </w:r>
      <w:r w:rsidR="00CC0020">
        <w:t>ere</w:t>
      </w:r>
      <w:r w:rsidR="00AB1733">
        <w:t xml:space="preserve"> is sufficient capacity to meet the current and future needs</w:t>
      </w:r>
      <w:r w:rsidR="002A2C71">
        <w:t>.</w:t>
      </w:r>
      <w:r w:rsidR="00607438">
        <w:t xml:space="preserve">  Submission discusses Irelands energy demand over the next 10 years</w:t>
      </w:r>
      <w:r w:rsidR="00B949C8">
        <w:t xml:space="preserve">, concluding that </w:t>
      </w:r>
      <w:r w:rsidR="00BC5D71">
        <w:t>electricity is required from every available source to secure Irelands energy demand</w:t>
      </w:r>
      <w:r w:rsidR="000955FD">
        <w:t>.</w:t>
      </w:r>
      <w:r w:rsidR="001B77F3">
        <w:t xml:space="preserve">  </w:t>
      </w:r>
      <w:r w:rsidR="0016182F">
        <w:t xml:space="preserve"> </w:t>
      </w:r>
      <w:r w:rsidR="00FF4886">
        <w:t xml:space="preserve"> </w:t>
      </w:r>
    </w:p>
    <w:p w14:paraId="0927F1F4" w14:textId="6F1763D8" w:rsidR="00C404CC" w:rsidRPr="00BB307A" w:rsidRDefault="00F9505D" w:rsidP="006D6640">
      <w:pPr>
        <w:pStyle w:val="DBodyNonum"/>
      </w:pPr>
      <w:r>
        <w:t xml:space="preserve">It is stated that the company </w:t>
      </w:r>
      <w:r w:rsidR="00C404CC">
        <w:t xml:space="preserve">recently received a contract to supply electricity by 2026 under </w:t>
      </w:r>
      <w:proofErr w:type="spellStart"/>
      <w:r w:rsidR="00C404CC">
        <w:t>Eirgrids</w:t>
      </w:r>
      <w:proofErr w:type="spellEnd"/>
      <w:r w:rsidR="00C404CC">
        <w:t xml:space="preserve"> T-4 Capacity Auction</w:t>
      </w:r>
      <w:r>
        <w:t>.  The company has a reputation as a good employer in the area.</w:t>
      </w:r>
      <w:r w:rsidR="00F00E13">
        <w:t xml:space="preserve">  The development will provide badly needed employment for </w:t>
      </w:r>
      <w:r w:rsidR="00F00E13">
        <w:lastRenderedPageBreak/>
        <w:t>both the construction and operation phases.</w:t>
      </w:r>
      <w:r w:rsidR="005613C1">
        <w:t xml:space="preserve">  Future potential for conversion to hydrogen use</w:t>
      </w:r>
      <w:r w:rsidR="00861CCE">
        <w:t xml:space="preserve"> based on the </w:t>
      </w:r>
      <w:proofErr w:type="gramStart"/>
      <w:r w:rsidR="00861CCE">
        <w:t>sites</w:t>
      </w:r>
      <w:proofErr w:type="gramEnd"/>
      <w:r w:rsidR="00861CCE">
        <w:t xml:space="preserve"> location and the huge potential of offshore wind</w:t>
      </w:r>
      <w:r w:rsidR="00E77FC0">
        <w:t>.</w:t>
      </w:r>
    </w:p>
    <w:p w14:paraId="15D49ADC" w14:textId="7B5C275E" w:rsidR="00AA69C0" w:rsidRPr="00AA69C0" w:rsidRDefault="00AA69C0" w:rsidP="00AA69C0">
      <w:pPr>
        <w:pStyle w:val="CBody2"/>
        <w:rPr>
          <w:b/>
          <w:bCs/>
        </w:rPr>
      </w:pPr>
      <w:r w:rsidRPr="00DE55C4">
        <w:rPr>
          <w:b/>
          <w:bCs/>
        </w:rPr>
        <w:t xml:space="preserve">Applicants Response to </w:t>
      </w:r>
      <w:r w:rsidR="00EB26D6">
        <w:rPr>
          <w:b/>
          <w:bCs/>
        </w:rPr>
        <w:t xml:space="preserve">Cllr </w:t>
      </w:r>
      <w:r>
        <w:rPr>
          <w:b/>
          <w:bCs/>
        </w:rPr>
        <w:t>Michael Foley</w:t>
      </w:r>
    </w:p>
    <w:p w14:paraId="199F4B30" w14:textId="56F93EF2" w:rsidR="00F13350" w:rsidRDefault="003321A8" w:rsidP="003321A8">
      <w:pPr>
        <w:pStyle w:val="Heading4"/>
      </w:pPr>
      <w:r>
        <w:t>The applicant notes and welcomes the supportive comments made by Councillor Foley.</w:t>
      </w:r>
    </w:p>
    <w:p w14:paraId="735C8DE2" w14:textId="4EE2679B" w:rsidR="00FF5680" w:rsidRPr="00754C5F" w:rsidRDefault="00FF5680" w:rsidP="00FF5680">
      <w:pPr>
        <w:pStyle w:val="CBody2"/>
        <w:rPr>
          <w:b/>
          <w:bCs/>
        </w:rPr>
      </w:pPr>
      <w:r w:rsidRPr="00754C5F">
        <w:rPr>
          <w:b/>
          <w:bCs/>
        </w:rPr>
        <w:t>John Fox</w:t>
      </w:r>
    </w:p>
    <w:p w14:paraId="33AF125E" w14:textId="2E0BB6F7" w:rsidR="00793D42" w:rsidRDefault="00FF5680" w:rsidP="00FF2640">
      <w:pPr>
        <w:pStyle w:val="CBody2"/>
        <w:numPr>
          <w:ilvl w:val="0"/>
          <w:numId w:val="0"/>
        </w:numPr>
        <w:jc w:val="both"/>
      </w:pPr>
      <w:r w:rsidRPr="00BB307A">
        <w:t>Supportive submission</w:t>
      </w:r>
      <w:r w:rsidR="00163A26">
        <w:t xml:space="preserve"> based on Proper Planning and Sustainable Development</w:t>
      </w:r>
      <w:r w:rsidR="00FF2640">
        <w:t xml:space="preserve"> and </w:t>
      </w:r>
      <w:r w:rsidR="00FA5820">
        <w:t>Supportive of the r</w:t>
      </w:r>
      <w:r w:rsidR="00203546">
        <w:t xml:space="preserve">e-use of </w:t>
      </w:r>
      <w:r w:rsidR="00FA5820">
        <w:t xml:space="preserve">a </w:t>
      </w:r>
      <w:r w:rsidR="00203546">
        <w:t>brownfield site</w:t>
      </w:r>
      <w:r w:rsidR="00FB2774">
        <w:t xml:space="preserve"> at the old power station.  </w:t>
      </w:r>
      <w:r w:rsidR="008D062D">
        <w:t xml:space="preserve">Existing essential infrastructure on the site that will assist the proposed development e.g. internal road network, transmission lines and existing buildings.  </w:t>
      </w:r>
      <w:r w:rsidR="00FB2774">
        <w:t xml:space="preserve">Visual impact will be </w:t>
      </w:r>
      <w:r w:rsidR="00104CCE">
        <w:t>improved by the dismantling of the old structures on the site.</w:t>
      </w:r>
    </w:p>
    <w:p w14:paraId="678492D3" w14:textId="09E41801" w:rsidR="0080245B" w:rsidRPr="0080245B" w:rsidRDefault="00793D42" w:rsidP="0080245B">
      <w:pPr>
        <w:pStyle w:val="Heading4"/>
      </w:pPr>
      <w:r>
        <w:rPr>
          <w:b/>
          <w:bCs/>
        </w:rPr>
        <w:t>Energy Security</w:t>
      </w:r>
      <w:r w:rsidR="00945C89">
        <w:rPr>
          <w:b/>
          <w:bCs/>
        </w:rPr>
        <w:t xml:space="preserve"> and Local Employment</w:t>
      </w:r>
      <w:r>
        <w:rPr>
          <w:b/>
          <w:bCs/>
        </w:rPr>
        <w:t xml:space="preserve"> </w:t>
      </w:r>
      <w:r w:rsidRPr="00793D42">
        <w:t>-</w:t>
      </w:r>
      <w:r>
        <w:t xml:space="preserve"> </w:t>
      </w:r>
      <w:r w:rsidR="00104CCE">
        <w:t>Development will provide much needed Energy Security for the country.</w:t>
      </w:r>
      <w:r w:rsidR="00945C89">
        <w:t xml:space="preserve">  In addition, the d</w:t>
      </w:r>
      <w:r w:rsidR="000827FC">
        <w:t>evelopment will provide much needed employment in the area</w:t>
      </w:r>
      <w:r w:rsidR="007C3A2B">
        <w:t xml:space="preserve"> to sustain rural Ireland and North Kerry.</w:t>
      </w:r>
      <w:r w:rsidR="008F2F4B">
        <w:t xml:space="preserve">  </w:t>
      </w:r>
      <w:proofErr w:type="gramStart"/>
      <w:r w:rsidR="001839F4">
        <w:t xml:space="preserve">Following </w:t>
      </w:r>
      <w:r w:rsidR="008F2F4B">
        <w:t xml:space="preserve">the </w:t>
      </w:r>
      <w:r w:rsidR="001839F4">
        <w:t>completion of development, there</w:t>
      </w:r>
      <w:proofErr w:type="gramEnd"/>
      <w:r w:rsidR="001839F4">
        <w:t xml:space="preserve"> will be </w:t>
      </w:r>
      <w:r w:rsidR="00A33EDF">
        <w:t>space for other industries on the site should the opportunity</w:t>
      </w:r>
      <w:r w:rsidR="0035693C">
        <w:t xml:space="preserve"> a</w:t>
      </w:r>
      <w:r w:rsidR="00AE0182">
        <w:t>r</w:t>
      </w:r>
      <w:r w:rsidR="0035693C">
        <w:t>ise</w:t>
      </w:r>
      <w:r w:rsidR="00945C89">
        <w:t>.</w:t>
      </w:r>
    </w:p>
    <w:p w14:paraId="61FB78D2" w14:textId="7B7F8870" w:rsidR="00E248A4" w:rsidRPr="00E248A4" w:rsidRDefault="00FF5680" w:rsidP="00E248A4">
      <w:pPr>
        <w:pStyle w:val="CBody2"/>
        <w:rPr>
          <w:b/>
          <w:bCs/>
        </w:rPr>
      </w:pPr>
      <w:r w:rsidRPr="00DE55C4">
        <w:rPr>
          <w:b/>
          <w:bCs/>
        </w:rPr>
        <w:t xml:space="preserve">Applicants Response to </w:t>
      </w:r>
      <w:r w:rsidR="0049359A">
        <w:rPr>
          <w:b/>
          <w:bCs/>
        </w:rPr>
        <w:t>John Fox</w:t>
      </w:r>
    </w:p>
    <w:p w14:paraId="022676E8" w14:textId="58A65651" w:rsidR="006D6640" w:rsidRPr="00DE55C4" w:rsidRDefault="001C1D4C" w:rsidP="00FB0047">
      <w:pPr>
        <w:pStyle w:val="DBodyNonum"/>
      </w:pPr>
      <w:r>
        <w:t xml:space="preserve">The applicant notes and welcomes the supportive comments made by Mr. Fox in </w:t>
      </w:r>
      <w:r w:rsidR="00BF282D">
        <w:t>relation to the Proposed Development.</w:t>
      </w:r>
    </w:p>
    <w:p w14:paraId="2107F1C3" w14:textId="66A1C83E" w:rsidR="00E40DCA" w:rsidRDefault="000F3BD8" w:rsidP="00E40DCA">
      <w:pPr>
        <w:pStyle w:val="EHead1"/>
      </w:pPr>
      <w:bookmarkStart w:id="38" w:name="_Toc950638"/>
      <w:bookmarkStart w:id="39" w:name="_Toc171346783"/>
      <w:r w:rsidRPr="004B5C94">
        <w:t xml:space="preserve">Planning </w:t>
      </w:r>
      <w:bookmarkEnd w:id="38"/>
      <w:r w:rsidR="00CD21BF">
        <w:t>Assessmen</w:t>
      </w:r>
      <w:r w:rsidR="000911A9">
        <w:t>t</w:t>
      </w:r>
      <w:bookmarkEnd w:id="39"/>
    </w:p>
    <w:p w14:paraId="7EB7DD91" w14:textId="2ED35BF7" w:rsidR="000911A9" w:rsidRDefault="000911A9" w:rsidP="000911A9">
      <w:pPr>
        <w:pStyle w:val="Heading2"/>
      </w:pPr>
      <w:r>
        <w:t>Introduction</w:t>
      </w:r>
    </w:p>
    <w:p w14:paraId="3DBEA946" w14:textId="19FFE389" w:rsidR="00E9184F" w:rsidRDefault="00E9184F" w:rsidP="00E9184F">
      <w:pPr>
        <w:pStyle w:val="BBody1"/>
        <w:numPr>
          <w:ilvl w:val="0"/>
          <w:numId w:val="0"/>
        </w:numPr>
        <w:jc w:val="both"/>
      </w:pPr>
      <w:r>
        <w:t>I have read the contents of the file in full, visited the site and surroundings, and have had regard to</w:t>
      </w:r>
      <w:r w:rsidR="00D5319F">
        <w:t xml:space="preserve"> European,</w:t>
      </w:r>
      <w:r>
        <w:t xml:space="preserve"> </w:t>
      </w:r>
      <w:r w:rsidR="00D5319F">
        <w:t>N</w:t>
      </w:r>
      <w:r>
        <w:t xml:space="preserve">ational and </w:t>
      </w:r>
      <w:r w:rsidR="00D5319F">
        <w:t>L</w:t>
      </w:r>
      <w:r>
        <w:t xml:space="preserve">ocal policy in relation to renewable energy.  I have also had regard to the submissions contained on the file including the submissions from the various observers, prescribed </w:t>
      </w:r>
      <w:proofErr w:type="gramStart"/>
      <w:r>
        <w:t>bodies</w:t>
      </w:r>
      <w:proofErr w:type="gramEnd"/>
      <w:r>
        <w:t xml:space="preserve"> and submissions from Kerry County Council.  </w:t>
      </w:r>
    </w:p>
    <w:p w14:paraId="5670B3E0" w14:textId="77777777" w:rsidR="00E9184F" w:rsidRDefault="00E9184F" w:rsidP="003C1E04">
      <w:pPr>
        <w:pStyle w:val="BBody1"/>
        <w:numPr>
          <w:ilvl w:val="0"/>
          <w:numId w:val="0"/>
        </w:numPr>
        <w:jc w:val="both"/>
      </w:pPr>
      <w:r>
        <w:lastRenderedPageBreak/>
        <w:t xml:space="preserve">All three sections of this report (Planning Assessment, EIAR Assessment and the Appropriate Assessment </w:t>
      </w:r>
      <w:r w:rsidRPr="00220219">
        <w:t>Screening) should be</w:t>
      </w:r>
      <w:r>
        <w:t xml:space="preserve"> read in conjunction </w:t>
      </w:r>
      <w:proofErr w:type="gramStart"/>
      <w:r>
        <w:t>so as to</w:t>
      </w:r>
      <w:proofErr w:type="gramEnd"/>
      <w:r>
        <w:t xml:space="preserve"> avoid unnecessary repetition under each of the sections.</w:t>
      </w:r>
    </w:p>
    <w:p w14:paraId="3CB18339" w14:textId="77777777" w:rsidR="00E9184F" w:rsidRDefault="00E9184F" w:rsidP="003C1E04">
      <w:pPr>
        <w:pStyle w:val="BBody1"/>
        <w:numPr>
          <w:ilvl w:val="0"/>
          <w:numId w:val="0"/>
        </w:numPr>
        <w:jc w:val="both"/>
      </w:pPr>
      <w:r>
        <w:t>I consider that the key issues that arise for consideration by the Board under this section of the report relate to the following:</w:t>
      </w:r>
    </w:p>
    <w:p w14:paraId="0103FC4D" w14:textId="13A0F67D" w:rsidR="00E9184F" w:rsidRDefault="00E9184F" w:rsidP="00E9184F">
      <w:pPr>
        <w:pStyle w:val="BBody1"/>
        <w:numPr>
          <w:ilvl w:val="0"/>
          <w:numId w:val="72"/>
        </w:numPr>
        <w:tabs>
          <w:tab w:val="left" w:pos="0"/>
        </w:tabs>
        <w:jc w:val="both"/>
      </w:pPr>
      <w:r>
        <w:t xml:space="preserve">Principal of the </w:t>
      </w:r>
      <w:r w:rsidR="00FA40B3">
        <w:t>D</w:t>
      </w:r>
      <w:r>
        <w:t>evelopment</w:t>
      </w:r>
    </w:p>
    <w:p w14:paraId="1F28A14E" w14:textId="3B8D5A48" w:rsidR="00B20F00" w:rsidRDefault="006C044F" w:rsidP="00B20F00">
      <w:pPr>
        <w:pStyle w:val="BBody1"/>
        <w:numPr>
          <w:ilvl w:val="0"/>
          <w:numId w:val="72"/>
        </w:numPr>
        <w:tabs>
          <w:tab w:val="left" w:pos="0"/>
        </w:tabs>
        <w:jc w:val="both"/>
      </w:pPr>
      <w:r>
        <w:t xml:space="preserve">Community </w:t>
      </w:r>
      <w:r w:rsidR="00514885">
        <w:t>Benefit Fund</w:t>
      </w:r>
    </w:p>
    <w:p w14:paraId="1FA23B2C" w14:textId="3DF61621" w:rsidR="000A0DF3" w:rsidRDefault="00E9184F" w:rsidP="000A0DF3">
      <w:pPr>
        <w:pStyle w:val="BBody1"/>
        <w:numPr>
          <w:ilvl w:val="0"/>
          <w:numId w:val="72"/>
        </w:numPr>
        <w:tabs>
          <w:tab w:val="left" w:pos="0"/>
        </w:tabs>
        <w:jc w:val="both"/>
      </w:pPr>
      <w:r>
        <w:t>Other Matters</w:t>
      </w:r>
    </w:p>
    <w:p w14:paraId="70A4E1DA" w14:textId="2DFDA1DA" w:rsidR="000A0DF3" w:rsidRPr="000A0DF3" w:rsidRDefault="000A0DF3" w:rsidP="000A0DF3">
      <w:pPr>
        <w:pStyle w:val="Heading2"/>
      </w:pPr>
      <w:r>
        <w:t>Princip</w:t>
      </w:r>
      <w:r w:rsidR="00A164BA">
        <w:t>le</w:t>
      </w:r>
      <w:r>
        <w:t xml:space="preserve"> of the Development</w:t>
      </w:r>
    </w:p>
    <w:p w14:paraId="3E7625C5" w14:textId="3CD75C6A" w:rsidR="00101F6E" w:rsidRDefault="00843A4B" w:rsidP="000A0DF3">
      <w:pPr>
        <w:pStyle w:val="BBody1"/>
        <w:numPr>
          <w:ilvl w:val="0"/>
          <w:numId w:val="0"/>
        </w:numPr>
        <w:jc w:val="both"/>
      </w:pPr>
      <w:r w:rsidRPr="003C1E04">
        <w:t>This section should be read in conjunction with Section 6.0 below (Environmental Impact Assessment)</w:t>
      </w:r>
      <w:r w:rsidR="003C1E04">
        <w:t>.</w:t>
      </w:r>
    </w:p>
    <w:p w14:paraId="3D2AA893" w14:textId="7C8AF00B" w:rsidR="00101F6E" w:rsidRDefault="00101F6E" w:rsidP="00101F6E">
      <w:pPr>
        <w:pStyle w:val="CBody2"/>
        <w:numPr>
          <w:ilvl w:val="0"/>
          <w:numId w:val="0"/>
        </w:numPr>
        <w:jc w:val="both"/>
      </w:pPr>
      <w:r w:rsidRPr="000055C5">
        <w:t xml:space="preserve">The </w:t>
      </w:r>
      <w:r>
        <w:t>P</w:t>
      </w:r>
      <w:r w:rsidRPr="000055C5">
        <w:t xml:space="preserve">roposed </w:t>
      </w:r>
      <w:r>
        <w:t>D</w:t>
      </w:r>
      <w:r w:rsidRPr="000055C5">
        <w:t>evelopment consists of</w:t>
      </w:r>
      <w:r>
        <w:t xml:space="preserve"> an Open Cycle Gas Turbine (OCGT) (350MW) plant fuelled by Hydrotreated Vegetable Oil (HVO).  </w:t>
      </w:r>
      <w:r w:rsidR="005E0146">
        <w:t xml:space="preserve">The Proposed Development will involve the combustion of HVO as the fuel in a gas turbine (operating in open cycle mode) that drives a generator to produce electricity.  </w:t>
      </w:r>
      <w:r>
        <w:t xml:space="preserve">The Proposed Development will connect via an overhead cable 75m in length, to an existing electrical substation to the south of the OCGT building within the Site boundary.  To accommodate the Proposed Development, demolition works of ancillary buildings/structures and foundations associated with the existing Tarbert HFO Power Station will be carried out.  The Tarbert HFO Power Station will be decommissioned prior to commencement of the construction phase of the Proposed Development.  </w:t>
      </w:r>
    </w:p>
    <w:p w14:paraId="2891F621" w14:textId="044DBEEC" w:rsidR="00101F6E" w:rsidRDefault="00101F6E" w:rsidP="00101F6E">
      <w:pPr>
        <w:pStyle w:val="CBody2"/>
        <w:numPr>
          <w:ilvl w:val="0"/>
          <w:numId w:val="0"/>
        </w:numPr>
        <w:jc w:val="both"/>
      </w:pPr>
      <w:r>
        <w:t>The Proposed Development will run on Hydrotreated Vegetable Oil (HVO), which is a type of biofuel</w:t>
      </w:r>
      <w:r w:rsidR="009A1FD7">
        <w:t xml:space="preserve">.  </w:t>
      </w:r>
      <w:r w:rsidR="006C6094">
        <w:t xml:space="preserve">Biofuels provide a transitional step away from fossil fuels and towards low-carbon hydrogen. </w:t>
      </w:r>
      <w:r w:rsidR="008815AA">
        <w:t xml:space="preserve"> </w:t>
      </w:r>
      <w:r>
        <w:t>It has</w:t>
      </w:r>
      <w:r w:rsidR="00EA78B4">
        <w:t xml:space="preserve"> a </w:t>
      </w:r>
      <w:r>
        <w:t>lower greenhouse gas emissions profile across its lifetime when compared to alternatives such as diesel combustion.</w:t>
      </w:r>
      <w:r w:rsidR="00B179DA">
        <w:t xml:space="preserve">  </w:t>
      </w:r>
    </w:p>
    <w:p w14:paraId="19B92FE8" w14:textId="54A1D26A" w:rsidR="00022242" w:rsidRPr="00936A77" w:rsidRDefault="00101F6E" w:rsidP="00022242">
      <w:pPr>
        <w:pStyle w:val="BBody1"/>
        <w:numPr>
          <w:ilvl w:val="0"/>
          <w:numId w:val="0"/>
        </w:numPr>
        <w:jc w:val="both"/>
      </w:pPr>
      <w:r>
        <w:t>The plant will operate as a ‘peaking plant’, spending most of its time on standby and will be run to complement renewable power generation technology.  The objective of the development is to provide support to the electricity network during periods when there is a gap between renewable power generation and power demand.</w:t>
      </w:r>
      <w:r w:rsidR="00022242">
        <w:t xml:space="preserve">  </w:t>
      </w:r>
      <w:r w:rsidR="00022242" w:rsidRPr="00936A77">
        <w:t xml:space="preserve">The plant </w:t>
      </w:r>
      <w:proofErr w:type="gramStart"/>
      <w:r w:rsidR="00022242" w:rsidRPr="00936A77">
        <w:t>has the ability to</w:t>
      </w:r>
      <w:proofErr w:type="gramEnd"/>
      <w:r w:rsidR="00022242" w:rsidRPr="00936A77">
        <w:t xml:space="preserve"> operate 24 hours a day, seven days a week. </w:t>
      </w:r>
      <w:r w:rsidR="00022242">
        <w:t xml:space="preserve"> </w:t>
      </w:r>
      <w:r w:rsidR="00022242" w:rsidRPr="00936A77">
        <w:t xml:space="preserve">It is noted however </w:t>
      </w:r>
      <w:proofErr w:type="gramStart"/>
      <w:r w:rsidR="00022242" w:rsidRPr="00936A77">
        <w:t>that</w:t>
      </w:r>
      <w:r w:rsidR="00B3397F">
        <w:t xml:space="preserve"> </w:t>
      </w:r>
      <w:r w:rsidR="00022242" w:rsidRPr="00936A77">
        <w:lastRenderedPageBreak/>
        <w:t>in reality</w:t>
      </w:r>
      <w:r w:rsidR="00022242">
        <w:t>,</w:t>
      </w:r>
      <w:r w:rsidR="00022242" w:rsidRPr="00936A77">
        <w:t xml:space="preserve"> it</w:t>
      </w:r>
      <w:proofErr w:type="gramEnd"/>
      <w:r w:rsidR="00022242" w:rsidRPr="00936A77">
        <w:t xml:space="preserve"> is expected to only operate during peak periods for a limited number of hours per year.</w:t>
      </w:r>
    </w:p>
    <w:p w14:paraId="3BEAFBE0" w14:textId="705D7C82" w:rsidR="00843A4B" w:rsidRPr="00EC30F5" w:rsidRDefault="00843A4B" w:rsidP="000A0DF3">
      <w:pPr>
        <w:pStyle w:val="BBody1"/>
        <w:numPr>
          <w:ilvl w:val="0"/>
          <w:numId w:val="0"/>
        </w:numPr>
        <w:jc w:val="both"/>
      </w:pPr>
      <w:r w:rsidRPr="00EC30F5">
        <w:t xml:space="preserve">The </w:t>
      </w:r>
      <w:r w:rsidR="008A165D" w:rsidRPr="00EC30F5">
        <w:t>Existing Tarbert P</w:t>
      </w:r>
      <w:r w:rsidRPr="00EC30F5">
        <w:t xml:space="preserve">ower </w:t>
      </w:r>
      <w:r w:rsidR="008A165D" w:rsidRPr="00EC30F5">
        <w:t>S</w:t>
      </w:r>
      <w:r w:rsidRPr="00EC30F5">
        <w:t>tation operates under an existing EPA Industrial Emissions (IE) Licence which would be reviewed and/or amended</w:t>
      </w:r>
      <w:r w:rsidR="0000344B">
        <w:t xml:space="preserve"> for the proposed OCGT</w:t>
      </w:r>
      <w:r w:rsidRPr="00EC30F5">
        <w:t xml:space="preserve">.  </w:t>
      </w:r>
    </w:p>
    <w:p w14:paraId="29742F3C" w14:textId="77777777" w:rsidR="00843A4B" w:rsidRPr="008E1E8C" w:rsidRDefault="00843A4B" w:rsidP="00936A77">
      <w:pPr>
        <w:pStyle w:val="BBody1"/>
        <w:numPr>
          <w:ilvl w:val="0"/>
          <w:numId w:val="0"/>
        </w:numPr>
        <w:jc w:val="both"/>
      </w:pPr>
      <w:r w:rsidRPr="008E1E8C">
        <w:t xml:space="preserve">To facilitate the continued expansion of Irelands renewable generation capacity, and support security of supply, modes of supporting the electricity network during periods when there is a gap between renewable power generation and power demand will be needed.  An OCGT is specifically for this purpose. It facilitates the integration of more renewable generation into the electricity network, supporting Ireland into its transition to a low carbon economy. </w:t>
      </w:r>
    </w:p>
    <w:p w14:paraId="0FB45163" w14:textId="164405B2" w:rsidR="00843A4B" w:rsidRPr="00CB0A15" w:rsidRDefault="00843A4B" w:rsidP="003C5DB5">
      <w:pPr>
        <w:pStyle w:val="BBody1"/>
        <w:numPr>
          <w:ilvl w:val="0"/>
          <w:numId w:val="0"/>
        </w:numPr>
        <w:jc w:val="both"/>
        <w:rPr>
          <w:i/>
          <w:iCs/>
        </w:rPr>
      </w:pPr>
      <w:r w:rsidRPr="008E1E8C">
        <w:t xml:space="preserve">In terms of European and National policy, there is recognition of the need to urgently move towards a low carbon and climate resilient society with a sustainable renewable energy supply and associated grid infrastructure provision.  The relevant European, </w:t>
      </w:r>
      <w:r w:rsidRPr="00F20733">
        <w:t xml:space="preserve">National, Regional and Local policies and objectives are set out in Section 3.0 above.  The Climate Action Plan 2024 (CAP24) states that rapid delivery of flexible gas generation is needed at scale and in a timeframe to replace emissions from coal and oil generation before the second carbon budget period.  The Plan aims to deliver at least 2 GW of new flexible gas-fired power generation and phase out and end the use of coal and peat in electricity generation.  Energy Security in Ireland to 2030, Energy Security Package, Nov. 2023 confirms that Irelands future energy will be secured by moving from an oil, peat, </w:t>
      </w:r>
      <w:proofErr w:type="gramStart"/>
      <w:r w:rsidRPr="00F20733">
        <w:t>coal</w:t>
      </w:r>
      <w:proofErr w:type="gramEnd"/>
      <w:r w:rsidRPr="00F20733">
        <w:t xml:space="preserve"> and gas-based energy system to an</w:t>
      </w:r>
      <w:r w:rsidRPr="009E7F0B">
        <w:t xml:space="preserve"> electricity-led system</w:t>
      </w:r>
      <w:r w:rsidRPr="00F20733">
        <w:t xml:space="preserve"> maximising our renewable energy potential.  </w:t>
      </w:r>
    </w:p>
    <w:p w14:paraId="6F64ACBE" w14:textId="5B6B67D5" w:rsidR="00843A4B" w:rsidRPr="00705447" w:rsidRDefault="00843A4B" w:rsidP="00705447">
      <w:pPr>
        <w:pStyle w:val="BBody1"/>
        <w:numPr>
          <w:ilvl w:val="0"/>
          <w:numId w:val="0"/>
        </w:numPr>
        <w:jc w:val="both"/>
        <w:rPr>
          <w:i/>
          <w:iCs/>
          <w:highlight w:val="yellow"/>
        </w:rPr>
      </w:pPr>
      <w:r w:rsidRPr="00705447">
        <w:t xml:space="preserve">The </w:t>
      </w:r>
      <w:r w:rsidR="00CB0A15" w:rsidRPr="00705447">
        <w:t>Kerry</w:t>
      </w:r>
      <w:r w:rsidRPr="00705447">
        <w:t xml:space="preserve"> County Development Plan contains several policies related to the protection of air quality and reduction in greenhouse gas emissions, and for the transition to sustainable forms of renewable energy generation.  </w:t>
      </w:r>
      <w:r w:rsidR="00F44F77" w:rsidRPr="00705447">
        <w:t xml:space="preserve">Section 3.1.3 of this report outlines the Development Plan </w:t>
      </w:r>
      <w:r w:rsidRPr="00705447">
        <w:t xml:space="preserve">policy basis for supporting the principle of the proposed </w:t>
      </w:r>
      <w:r w:rsidR="00705447" w:rsidRPr="00705447">
        <w:t>development and will not be repeated here</w:t>
      </w:r>
      <w:r w:rsidRPr="00705447">
        <w:t xml:space="preserve">.  </w:t>
      </w:r>
      <w:r w:rsidRPr="00C37F75">
        <w:t xml:space="preserve">The County Development Plan also contains a variety of policies for the protection of residential and visual amenity, human </w:t>
      </w:r>
      <w:proofErr w:type="gramStart"/>
      <w:r w:rsidRPr="00C37F75">
        <w:t>health</w:t>
      </w:r>
      <w:proofErr w:type="gramEnd"/>
      <w:r w:rsidRPr="00C37F75">
        <w:t xml:space="preserve"> and air quality, along with traffic management.  Compliance with these policies will be addressed in Section 6.0 below (EIA).</w:t>
      </w:r>
    </w:p>
    <w:p w14:paraId="0443F767" w14:textId="77777777" w:rsidR="00843A4B" w:rsidRPr="00C37F75" w:rsidRDefault="00843A4B" w:rsidP="00C37F75">
      <w:pPr>
        <w:pStyle w:val="BBody1"/>
        <w:numPr>
          <w:ilvl w:val="0"/>
          <w:numId w:val="0"/>
        </w:numPr>
        <w:jc w:val="both"/>
      </w:pPr>
      <w:r w:rsidRPr="00C37F75">
        <w:t>Having regard to:</w:t>
      </w:r>
    </w:p>
    <w:p w14:paraId="3E76DFFE" w14:textId="77777777" w:rsidR="00843A4B" w:rsidRPr="00C37F75" w:rsidRDefault="00843A4B" w:rsidP="000A0DF3">
      <w:pPr>
        <w:pStyle w:val="BBody1"/>
        <w:numPr>
          <w:ilvl w:val="0"/>
          <w:numId w:val="71"/>
        </w:numPr>
        <w:tabs>
          <w:tab w:val="left" w:pos="0"/>
        </w:tabs>
        <w:jc w:val="both"/>
      </w:pPr>
      <w:r w:rsidRPr="00C37F75">
        <w:lastRenderedPageBreak/>
        <w:t xml:space="preserve">European, National and Local Policy in relation to the rapid delivery of renewable energy and specifically National Policy which identifies the need to deliver at least 2GW of new flexible gas fire power stations </w:t>
      </w:r>
      <w:proofErr w:type="gramStart"/>
      <w:r w:rsidRPr="00C37F75">
        <w:t>in order to</w:t>
      </w:r>
      <w:proofErr w:type="gramEnd"/>
      <w:r w:rsidRPr="00C37F75">
        <w:t xml:space="preserve"> facilitate Irelands commitment under the Climate Action and Low Carbon Development (Amendment) Act 2021 to the objective of becoming a carbon-neutral economy by 2050.</w:t>
      </w:r>
    </w:p>
    <w:p w14:paraId="717BE83D" w14:textId="13E90157" w:rsidR="00843A4B" w:rsidRPr="007C4165" w:rsidRDefault="00843A4B" w:rsidP="000A0DF3">
      <w:pPr>
        <w:pStyle w:val="BBody1"/>
        <w:numPr>
          <w:ilvl w:val="0"/>
          <w:numId w:val="71"/>
        </w:numPr>
        <w:tabs>
          <w:tab w:val="left" w:pos="0"/>
        </w:tabs>
        <w:jc w:val="both"/>
      </w:pPr>
      <w:r w:rsidRPr="007C4165">
        <w:t>The characteristics of the site</w:t>
      </w:r>
      <w:r w:rsidR="00CF02BC">
        <w:t>,</w:t>
      </w:r>
      <w:r w:rsidRPr="007C4165">
        <w:t xml:space="preserve"> which include it being a brownfield site in proximity to the existing </w:t>
      </w:r>
      <w:r w:rsidR="007C4165" w:rsidRPr="007C4165">
        <w:t>Tarbert</w:t>
      </w:r>
      <w:r w:rsidRPr="007C4165">
        <w:t xml:space="preserve"> Power Station</w:t>
      </w:r>
      <w:r w:rsidR="00811626">
        <w:t>, which is currently being decommissioned</w:t>
      </w:r>
      <w:r w:rsidRPr="007C4165">
        <w:t xml:space="preserve">. </w:t>
      </w:r>
    </w:p>
    <w:p w14:paraId="39896B9D" w14:textId="77777777" w:rsidR="00843A4B" w:rsidRPr="0069228B" w:rsidRDefault="00843A4B" w:rsidP="000A0DF3">
      <w:pPr>
        <w:pStyle w:val="BBody1"/>
        <w:numPr>
          <w:ilvl w:val="0"/>
          <w:numId w:val="71"/>
        </w:numPr>
        <w:tabs>
          <w:tab w:val="left" w:pos="0"/>
        </w:tabs>
        <w:jc w:val="both"/>
      </w:pPr>
      <w:r w:rsidRPr="0069228B">
        <w:t xml:space="preserve">The overall justification for a ‘Peaking Plant’, which would provide backup electricity generation to the national grid </w:t>
      </w:r>
      <w:proofErr w:type="gramStart"/>
      <w:r w:rsidRPr="0069228B">
        <w:t>in order to</w:t>
      </w:r>
      <w:proofErr w:type="gramEnd"/>
      <w:r w:rsidRPr="0069228B">
        <w:t xml:space="preserve"> ensure security of power supply.</w:t>
      </w:r>
    </w:p>
    <w:p w14:paraId="536107DB" w14:textId="042D8FF8" w:rsidR="00843A4B" w:rsidRDefault="00843A4B" w:rsidP="00BA2894">
      <w:pPr>
        <w:pStyle w:val="BBody1"/>
        <w:numPr>
          <w:ilvl w:val="0"/>
          <w:numId w:val="0"/>
        </w:numPr>
        <w:jc w:val="both"/>
      </w:pPr>
      <w:r w:rsidRPr="009B3863">
        <w:t>I</w:t>
      </w:r>
      <w:r w:rsidR="00BA2894">
        <w:t>n conclusion, I</w:t>
      </w:r>
      <w:r w:rsidRPr="009B3863">
        <w:t xml:space="preserve"> am satisfied the proposed development is supported by Local, European, National and Regional </w:t>
      </w:r>
      <w:r w:rsidR="002A0C39">
        <w:t xml:space="preserve">policy </w:t>
      </w:r>
      <w:r w:rsidRPr="009B3863">
        <w:t xml:space="preserve">in relation to moving from an oil, peat, coal and gas-based energy system to an electricity-led system maximising our renewable energy potential, specifically with the use of new gas-fired generation as flexible back-up, as set out in Section 3 of this report and it would contribute to the achievement of European and national renewable energy targets. </w:t>
      </w:r>
    </w:p>
    <w:p w14:paraId="098C6E2B" w14:textId="666E86D7" w:rsidR="006C044F" w:rsidRDefault="006C044F" w:rsidP="006C044F">
      <w:pPr>
        <w:pStyle w:val="Heading2"/>
      </w:pPr>
      <w:r>
        <w:t xml:space="preserve">Community </w:t>
      </w:r>
      <w:r w:rsidR="00514885">
        <w:t>Benefit Fund</w:t>
      </w:r>
    </w:p>
    <w:p w14:paraId="16697FD9" w14:textId="7111D260" w:rsidR="00267BD9" w:rsidRDefault="00253FF7" w:rsidP="009453AC">
      <w:pPr>
        <w:pStyle w:val="BBody1"/>
        <w:numPr>
          <w:ilvl w:val="0"/>
          <w:numId w:val="0"/>
        </w:numPr>
        <w:jc w:val="both"/>
      </w:pPr>
      <w:r w:rsidRPr="00267BD9">
        <w:t xml:space="preserve">The </w:t>
      </w:r>
      <w:r w:rsidR="00267BD9" w:rsidRPr="00267BD9">
        <w:t>Planning Authority have requested that a condition relating to</w:t>
      </w:r>
      <w:r w:rsidR="00D5319F">
        <w:t xml:space="preserve"> a</w:t>
      </w:r>
      <w:r w:rsidR="00267BD9" w:rsidRPr="00267BD9">
        <w:t xml:space="preserve"> community</w:t>
      </w:r>
      <w:r w:rsidR="00267BD9">
        <w:t xml:space="preserve"> </w:t>
      </w:r>
      <w:r w:rsidR="00D5319F">
        <w:t>benefit fund</w:t>
      </w:r>
      <w:r w:rsidR="00267BD9">
        <w:t xml:space="preserve"> as per Section 12.5.5 of Chapter 12 of the KCDP 2022.  Section 12.5.5 </w:t>
      </w:r>
      <w:r w:rsidR="00E055DF">
        <w:t xml:space="preserve">states the </w:t>
      </w:r>
      <w:proofErr w:type="gramStart"/>
      <w:r w:rsidR="00E055DF">
        <w:t>following;</w:t>
      </w:r>
      <w:proofErr w:type="gramEnd"/>
    </w:p>
    <w:p w14:paraId="4F8BDFA3" w14:textId="77777777" w:rsidR="00E055DF" w:rsidRPr="00C156A5" w:rsidRDefault="00E055DF" w:rsidP="00C156A5">
      <w:pPr>
        <w:pStyle w:val="BBody1"/>
        <w:numPr>
          <w:ilvl w:val="0"/>
          <w:numId w:val="0"/>
        </w:numPr>
        <w:ind w:left="720"/>
        <w:jc w:val="both"/>
        <w:rPr>
          <w:i/>
          <w:iCs/>
        </w:rPr>
      </w:pPr>
      <w:r w:rsidRPr="00C156A5">
        <w:rPr>
          <w:i/>
          <w:iCs/>
        </w:rPr>
        <w:t xml:space="preserve">‘In order to offset any potential impact of a renewable energy development on the community it is the policy of Kerry County Council to seek the developers to provide support to local communities by providing resources for Community Benefit Funds. It is considered reasonable that renewable energy developments contribute to the community within a 20km radius of the development site within the county, at a rate of €2/MWh. </w:t>
      </w:r>
    </w:p>
    <w:p w14:paraId="1BA3F539" w14:textId="261FA2C7" w:rsidR="00E055DF" w:rsidRPr="00C156A5" w:rsidRDefault="00E055DF" w:rsidP="0024696C">
      <w:pPr>
        <w:pStyle w:val="BBody1"/>
        <w:numPr>
          <w:ilvl w:val="0"/>
          <w:numId w:val="0"/>
        </w:numPr>
        <w:ind w:left="360" w:firstLine="360"/>
        <w:jc w:val="both"/>
        <w:rPr>
          <w:i/>
          <w:iCs/>
        </w:rPr>
      </w:pPr>
      <w:r w:rsidRPr="00C156A5">
        <w:rPr>
          <w:i/>
          <w:iCs/>
        </w:rPr>
        <w:t xml:space="preserve">It is the policy of the council to: </w:t>
      </w:r>
    </w:p>
    <w:p w14:paraId="4FC9230A" w14:textId="77777777" w:rsidR="00E055DF" w:rsidRPr="00C156A5" w:rsidRDefault="00E055DF" w:rsidP="0024696C">
      <w:pPr>
        <w:pStyle w:val="BBody1"/>
        <w:numPr>
          <w:ilvl w:val="0"/>
          <w:numId w:val="73"/>
        </w:numPr>
        <w:ind w:left="1080"/>
        <w:jc w:val="both"/>
        <w:rPr>
          <w:i/>
          <w:iCs/>
        </w:rPr>
      </w:pPr>
      <w:r w:rsidRPr="00C156A5">
        <w:rPr>
          <w:i/>
          <w:iCs/>
        </w:rPr>
        <w:t xml:space="preserve">Require that developers of proposed large-scale renewable energy projects carry out community consultation in accordance with best practice and to commence the consultation at the commencement of project planning. </w:t>
      </w:r>
    </w:p>
    <w:p w14:paraId="51FE1BBD" w14:textId="37931234" w:rsidR="00E055DF" w:rsidRPr="00C156A5" w:rsidRDefault="00E055DF" w:rsidP="0024696C">
      <w:pPr>
        <w:pStyle w:val="BBody1"/>
        <w:numPr>
          <w:ilvl w:val="0"/>
          <w:numId w:val="73"/>
        </w:numPr>
        <w:ind w:left="1080"/>
        <w:jc w:val="both"/>
        <w:rPr>
          <w:i/>
          <w:iCs/>
        </w:rPr>
      </w:pPr>
      <w:r w:rsidRPr="00C156A5">
        <w:rPr>
          <w:i/>
          <w:iCs/>
        </w:rPr>
        <w:lastRenderedPageBreak/>
        <w:t xml:space="preserve">Ensure that all community benefits are distributed to projects in support of the community within a 20km radius, of the site, within the county only. </w:t>
      </w:r>
    </w:p>
    <w:p w14:paraId="03071E83" w14:textId="4B1CDB40" w:rsidR="00253FF7" w:rsidRPr="00711266" w:rsidRDefault="00E055DF" w:rsidP="00711266">
      <w:pPr>
        <w:pStyle w:val="BBody1"/>
        <w:numPr>
          <w:ilvl w:val="0"/>
          <w:numId w:val="73"/>
        </w:numPr>
        <w:ind w:left="1080"/>
        <w:jc w:val="both"/>
        <w:rPr>
          <w:i/>
          <w:iCs/>
        </w:rPr>
      </w:pPr>
      <w:r w:rsidRPr="00C156A5">
        <w:rPr>
          <w:i/>
          <w:iCs/>
        </w:rPr>
        <w:t>Support sustainable community projects that apply to the Renewable Electricity Support Scheme and the National Microgeneration Support Scheme.</w:t>
      </w:r>
      <w:r w:rsidR="00C156A5" w:rsidRPr="00C156A5">
        <w:rPr>
          <w:i/>
          <w:iCs/>
        </w:rPr>
        <w:t>’</w:t>
      </w:r>
    </w:p>
    <w:p w14:paraId="30161DA3" w14:textId="74E029C1" w:rsidR="002D2D8B" w:rsidRDefault="003C38CF" w:rsidP="009133BF">
      <w:pPr>
        <w:pStyle w:val="BBody1"/>
        <w:numPr>
          <w:ilvl w:val="0"/>
          <w:numId w:val="0"/>
        </w:numPr>
        <w:jc w:val="both"/>
      </w:pPr>
      <w:r w:rsidRPr="009133BF">
        <w:t xml:space="preserve">I note that in </w:t>
      </w:r>
      <w:r w:rsidR="002D2D8B" w:rsidRPr="009133BF">
        <w:t>ABP Ref. PA08.PA0017</w:t>
      </w:r>
      <w:r w:rsidRPr="009133BF">
        <w:t>, a</w:t>
      </w:r>
      <w:r w:rsidR="002D2D8B" w:rsidRPr="009133BF">
        <w:t xml:space="preserve"> 10-year permission was granted on 6/12/2010 for a 450MW Gas-fired Combined Cycle</w:t>
      </w:r>
      <w:r w:rsidR="002D2D8B">
        <w:t xml:space="preserve"> Power Plant on the western side of the generation station.  Conditions 20</w:t>
      </w:r>
      <w:r w:rsidR="00E977AF">
        <w:t xml:space="preserve"> and </w:t>
      </w:r>
      <w:r w:rsidR="002D2D8B">
        <w:t>21</w:t>
      </w:r>
      <w:r w:rsidR="00E977AF">
        <w:t xml:space="preserve"> provide for </w:t>
      </w:r>
      <w:r w:rsidR="000C11DA">
        <w:t>a</w:t>
      </w:r>
      <w:r w:rsidR="002D2D8B">
        <w:t xml:space="preserve"> community </w:t>
      </w:r>
      <w:r w:rsidR="00D5319F">
        <w:t>be</w:t>
      </w:r>
      <w:r w:rsidR="002D2D8B">
        <w:t>n</w:t>
      </w:r>
      <w:r w:rsidR="00D5319F">
        <w:t>efit</w:t>
      </w:r>
      <w:r w:rsidR="002D2D8B">
        <w:t xml:space="preserve"> fund to be managed by a Community Liaison Committee.</w:t>
      </w:r>
    </w:p>
    <w:p w14:paraId="3C4B8E5A" w14:textId="77777777" w:rsidR="0073551F" w:rsidRDefault="001249A3" w:rsidP="009133BF">
      <w:pPr>
        <w:pStyle w:val="BBody1"/>
        <w:numPr>
          <w:ilvl w:val="0"/>
          <w:numId w:val="0"/>
        </w:numPr>
        <w:jc w:val="both"/>
      </w:pPr>
      <w:r>
        <w:t>In relation to Community Gain, t</w:t>
      </w:r>
      <w:r w:rsidR="008538B4">
        <w:t xml:space="preserve">he applicant states that the projects dedicated Community Liaison Officer will continue to engage with the local community, is committed to ensuring that any community commitment contributes to the social, </w:t>
      </w:r>
      <w:proofErr w:type="gramStart"/>
      <w:r w:rsidR="008538B4">
        <w:t>environmental</w:t>
      </w:r>
      <w:proofErr w:type="gramEnd"/>
      <w:r w:rsidR="008538B4">
        <w:t xml:space="preserve"> and economic we</w:t>
      </w:r>
      <w:r w:rsidR="00834DB5">
        <w:t>ll</w:t>
      </w:r>
      <w:r w:rsidR="008538B4">
        <w:t>-being of local communities over the construction and operational phases of the proposed development.</w:t>
      </w:r>
      <w:r w:rsidR="0073551F">
        <w:t xml:space="preserve">  </w:t>
      </w:r>
    </w:p>
    <w:p w14:paraId="6E2D70B1" w14:textId="1491022F" w:rsidR="006C044F" w:rsidRDefault="0073551F" w:rsidP="00BA2894">
      <w:pPr>
        <w:pStyle w:val="BBody1"/>
        <w:numPr>
          <w:ilvl w:val="0"/>
          <w:numId w:val="0"/>
        </w:numPr>
        <w:jc w:val="both"/>
      </w:pPr>
      <w:r>
        <w:t xml:space="preserve">I consider a condition </w:t>
      </w:r>
      <w:r w:rsidR="001A54D2">
        <w:t xml:space="preserve">relating to </w:t>
      </w:r>
      <w:r w:rsidR="00D5319F">
        <w:t xml:space="preserve">a </w:t>
      </w:r>
      <w:r w:rsidR="00B46327">
        <w:t>c</w:t>
      </w:r>
      <w:r w:rsidR="001A54D2">
        <w:t xml:space="preserve">ommunity </w:t>
      </w:r>
      <w:r w:rsidR="00B46327">
        <w:t>benefit fund</w:t>
      </w:r>
      <w:r w:rsidR="00473E12">
        <w:t>,</w:t>
      </w:r>
      <w:r w:rsidR="00375F9E">
        <w:t xml:space="preserve"> which would comply with Section 12.5.5.</w:t>
      </w:r>
      <w:r w:rsidR="009133BF">
        <w:t xml:space="preserve"> of the </w:t>
      </w:r>
      <w:r w:rsidR="00375F9E">
        <w:t>KCDP 2022</w:t>
      </w:r>
      <w:r w:rsidR="001A54D2">
        <w:t xml:space="preserve"> to be reasonable</w:t>
      </w:r>
      <w:r w:rsidR="009133BF">
        <w:t xml:space="preserve"> in relation to the proposed development.</w:t>
      </w:r>
      <w:r w:rsidR="001A54D2">
        <w:t xml:space="preserve"> </w:t>
      </w:r>
    </w:p>
    <w:p w14:paraId="17431824" w14:textId="28F457F5" w:rsidR="00843A4B" w:rsidRPr="003934EE" w:rsidRDefault="00843A4B" w:rsidP="008D2CF8">
      <w:pPr>
        <w:pStyle w:val="Heading2"/>
      </w:pPr>
      <w:bookmarkStart w:id="40" w:name="_Toc157634115"/>
      <w:bookmarkStart w:id="41" w:name="_Toc158156203"/>
      <w:bookmarkStart w:id="42" w:name="_Toc164376507"/>
      <w:r w:rsidRPr="003934EE">
        <w:t>Other Matters</w:t>
      </w:r>
      <w:bookmarkEnd w:id="40"/>
      <w:bookmarkEnd w:id="41"/>
      <w:bookmarkEnd w:id="42"/>
    </w:p>
    <w:p w14:paraId="29F86302" w14:textId="7F5E5A4A" w:rsidR="00256AF6" w:rsidRPr="003934EE" w:rsidRDefault="00843A4B" w:rsidP="003934EE">
      <w:pPr>
        <w:pStyle w:val="BBody1"/>
        <w:numPr>
          <w:ilvl w:val="0"/>
          <w:numId w:val="0"/>
        </w:numPr>
        <w:jc w:val="both"/>
      </w:pPr>
      <w:r w:rsidRPr="003934EE">
        <w:t>All other issues related to Population &amp; Human Health</w:t>
      </w:r>
      <w:r w:rsidR="00256AF6" w:rsidRPr="003934EE">
        <w:t xml:space="preserve">, Biodiversity, </w:t>
      </w:r>
      <w:r w:rsidR="008B14D4" w:rsidRPr="003934EE">
        <w:t xml:space="preserve">Water, Land, Soils and </w:t>
      </w:r>
      <w:r w:rsidR="00181129" w:rsidRPr="003934EE">
        <w:t>Climate</w:t>
      </w:r>
      <w:r w:rsidR="008B14D4" w:rsidRPr="003934EE">
        <w:t>, Traffic</w:t>
      </w:r>
      <w:r w:rsidR="00D1142A" w:rsidRPr="003934EE">
        <w:t xml:space="preserve">, Land Use, Air Quality and Climate, Noise and Vibration, </w:t>
      </w:r>
      <w:r w:rsidR="00256AF6" w:rsidRPr="003934EE">
        <w:t xml:space="preserve">Landscape and Visual Amenity, </w:t>
      </w:r>
      <w:r w:rsidR="008D2CF8" w:rsidRPr="003934EE">
        <w:t xml:space="preserve">Material Assets, </w:t>
      </w:r>
      <w:r w:rsidR="00256AF6" w:rsidRPr="003934EE">
        <w:t>Cultural Heritage &amp; Archaeology,</w:t>
      </w:r>
      <w:r w:rsidR="00181129" w:rsidRPr="003934EE">
        <w:t xml:space="preserve"> Major Accidents and/or Disasters</w:t>
      </w:r>
      <w:r w:rsidR="00256AF6" w:rsidRPr="003934EE">
        <w:t xml:space="preserve"> </w:t>
      </w:r>
      <w:r w:rsidRPr="003934EE">
        <w:t>are addressed in Section 6.0 of this report (EIA).</w:t>
      </w:r>
    </w:p>
    <w:p w14:paraId="2107F1C4" w14:textId="4BC44735" w:rsidR="00E40DCA" w:rsidRDefault="005B2805" w:rsidP="00E40DCA">
      <w:pPr>
        <w:pStyle w:val="EHead1"/>
      </w:pPr>
      <w:bookmarkStart w:id="43" w:name="_Toc171346784"/>
      <w:r>
        <w:t>Environmental Impact Assessment (EIA)</w:t>
      </w:r>
      <w:bookmarkEnd w:id="43"/>
    </w:p>
    <w:p w14:paraId="42338B06" w14:textId="0EBA61D0" w:rsidR="005B2805" w:rsidRDefault="00BE30BD" w:rsidP="005B2805">
      <w:pPr>
        <w:pStyle w:val="Heading2"/>
      </w:pPr>
      <w:r>
        <w:t>Statutory Provisions</w:t>
      </w:r>
    </w:p>
    <w:p w14:paraId="7859DA3E" w14:textId="2078AD3F" w:rsidR="00101436" w:rsidRPr="00453342" w:rsidRDefault="001243B3" w:rsidP="005D775D">
      <w:pPr>
        <w:pStyle w:val="BBody1"/>
        <w:numPr>
          <w:ilvl w:val="0"/>
          <w:numId w:val="0"/>
        </w:numPr>
        <w:jc w:val="both"/>
      </w:pPr>
      <w:r>
        <w:t xml:space="preserve">The proposed development </w:t>
      </w:r>
      <w:r w:rsidR="00471142">
        <w:t>consists of a gas turbine operating in open cycle gas turbine (OCGT) mode fuelled by Hydrotreated Vegetable Oil (HVO) with an output of 350MW, fuel pipes, storage and unlading area, water storage tanks, electrical grid connection and all associated ancillary development, site works and services.</w:t>
      </w:r>
      <w:r w:rsidR="00101436">
        <w:t xml:space="preserve">  </w:t>
      </w:r>
      <w:r w:rsidR="00101436" w:rsidRPr="00101436">
        <w:t xml:space="preserve">An EIA </w:t>
      </w:r>
      <w:r w:rsidR="00101436" w:rsidRPr="00101436">
        <w:lastRenderedPageBreak/>
        <w:t>is required for proposed developments with ‘</w:t>
      </w:r>
      <w:r w:rsidR="00101436" w:rsidRPr="00C27B6D">
        <w:rPr>
          <w:i/>
          <w:iCs/>
        </w:rPr>
        <w:t>2. (a) A thermal power station or other combustion installation with a heat output of 300 megawatts or more’</w:t>
      </w:r>
      <w:r w:rsidR="00101436" w:rsidRPr="00101436">
        <w:t xml:space="preserve">. (EIA Directive, Annex </w:t>
      </w:r>
      <w:proofErr w:type="gramStart"/>
      <w:r w:rsidR="00101436" w:rsidRPr="00101436">
        <w:t>1</w:t>
      </w:r>
      <w:proofErr w:type="gramEnd"/>
      <w:r w:rsidR="00101436" w:rsidRPr="00101436">
        <w:t xml:space="preserve"> and Schedule 5 Part 1 of the P&amp;D Regs).</w:t>
      </w:r>
      <w:r w:rsidR="0031319E">
        <w:t xml:space="preserve"> </w:t>
      </w:r>
      <w:r w:rsidR="00101436" w:rsidRPr="00101436">
        <w:t xml:space="preserve"> </w:t>
      </w:r>
      <w:r w:rsidR="00950F20">
        <w:t xml:space="preserve">The proposed development would have a stated thermal output of 350MW.  The proposed development exceeds this </w:t>
      </w:r>
      <w:r w:rsidR="00950F20" w:rsidRPr="00453342">
        <w:t xml:space="preserve">threshold and is therefore subject to mandatory EIA. </w:t>
      </w:r>
      <w:r w:rsidR="00101436" w:rsidRPr="00453342">
        <w:t xml:space="preserve"> </w:t>
      </w:r>
    </w:p>
    <w:p w14:paraId="28983F6A" w14:textId="4AED41AE" w:rsidR="005B2805" w:rsidRPr="00453342" w:rsidRDefault="00913237" w:rsidP="00913237">
      <w:pPr>
        <w:pStyle w:val="Heading2"/>
      </w:pPr>
      <w:r w:rsidRPr="00453342">
        <w:t>EIA Structure</w:t>
      </w:r>
    </w:p>
    <w:p w14:paraId="408F6E4D" w14:textId="1585607B" w:rsidR="0054481A" w:rsidRPr="00453342" w:rsidRDefault="0054481A" w:rsidP="0054481A">
      <w:pPr>
        <w:pStyle w:val="BBody1"/>
        <w:numPr>
          <w:ilvl w:val="0"/>
          <w:numId w:val="0"/>
        </w:numPr>
        <w:jc w:val="both"/>
        <w:rPr>
          <w:rStyle w:val="CBody2Char"/>
        </w:rPr>
      </w:pPr>
      <w:r w:rsidRPr="00453342">
        <w:rPr>
          <w:rStyle w:val="CBody2Char"/>
        </w:rPr>
        <w:t xml:space="preserve">This section of the report comprises the environmental impact assessment of the proposed development in accordance with Planning and Development Act 2000 (as amended) and the associated Regulations, which incorporate the European </w:t>
      </w:r>
      <w:r w:rsidR="00B46327">
        <w:rPr>
          <w:rStyle w:val="CBody2Char"/>
        </w:rPr>
        <w:t>D</w:t>
      </w:r>
      <w:r w:rsidRPr="00453342">
        <w:rPr>
          <w:rStyle w:val="CBody2Char"/>
        </w:rPr>
        <w:t>irectives on environmental impact assessment (Directive 2011/92/EU as amended by 2014/52/EU).  Section 171 of the Planning and Development Act, 2000 (as amended) defines EIA as:</w:t>
      </w:r>
    </w:p>
    <w:p w14:paraId="59875337" w14:textId="6FE3D2AB" w:rsidR="0054481A" w:rsidRPr="00453342" w:rsidRDefault="0054481A" w:rsidP="001B1646">
      <w:pPr>
        <w:pStyle w:val="DBodyNonum"/>
        <w:ind w:left="720"/>
        <w:rPr>
          <w:rStyle w:val="CBody2Char"/>
        </w:rPr>
      </w:pPr>
      <w:r w:rsidRPr="00453342">
        <w:rPr>
          <w:rStyle w:val="CBody2Char"/>
        </w:rPr>
        <w:t xml:space="preserve">a. </w:t>
      </w:r>
      <w:r w:rsidR="00465B8D">
        <w:rPr>
          <w:rStyle w:val="CBody2Char"/>
        </w:rPr>
        <w:t xml:space="preserve"> </w:t>
      </w:r>
      <w:r w:rsidR="001B1646" w:rsidRPr="00453342">
        <w:rPr>
          <w:rStyle w:val="CBody2Char"/>
        </w:rPr>
        <w:t>C</w:t>
      </w:r>
      <w:r w:rsidRPr="00453342">
        <w:rPr>
          <w:rStyle w:val="CBody2Char"/>
        </w:rPr>
        <w:t xml:space="preserve">onsisting of the preparation of an EIAR by the applicant, the carrying out of consultations, the examination of the EIAR and relevant supplementary information by the Board, the reasoned conclusions of the Board and the integration of the reasoned conclusion into the decision of the Board, and </w:t>
      </w:r>
    </w:p>
    <w:p w14:paraId="37905D9E" w14:textId="5DC196DD" w:rsidR="0054481A" w:rsidRPr="00453342" w:rsidRDefault="0054481A" w:rsidP="001B1646">
      <w:pPr>
        <w:pStyle w:val="DBodyNonum"/>
        <w:ind w:left="720"/>
        <w:rPr>
          <w:rStyle w:val="CBody2Char"/>
        </w:rPr>
      </w:pPr>
      <w:r w:rsidRPr="00453342">
        <w:rPr>
          <w:rStyle w:val="CBody2Char"/>
        </w:rPr>
        <w:t xml:space="preserve">b. </w:t>
      </w:r>
      <w:r w:rsidR="001B1646" w:rsidRPr="00453342">
        <w:rPr>
          <w:rStyle w:val="CBody2Char"/>
        </w:rPr>
        <w:t>I</w:t>
      </w:r>
      <w:r w:rsidRPr="00453342">
        <w:rPr>
          <w:rStyle w:val="CBody2Char"/>
        </w:rPr>
        <w:t xml:space="preserve">ncludes an examination, </w:t>
      </w:r>
      <w:proofErr w:type="gramStart"/>
      <w:r w:rsidRPr="00453342">
        <w:rPr>
          <w:rStyle w:val="CBody2Char"/>
        </w:rPr>
        <w:t>analysis</w:t>
      </w:r>
      <w:proofErr w:type="gramEnd"/>
      <w:r w:rsidRPr="00453342">
        <w:rPr>
          <w:rStyle w:val="CBody2Char"/>
        </w:rPr>
        <w:t xml:space="preserve"> and evaluation, by the Board, that identifies, describes and assesses the likely direct and indirect significant effects of the proposed development on defined environmental parameters and the interaction of these factors, and which includes significant effects arising from the vulnerability of the project to risks of major accidents and/or disasters.</w:t>
      </w:r>
    </w:p>
    <w:p w14:paraId="38643ACF" w14:textId="77777777" w:rsidR="0054481A" w:rsidRPr="00453342" w:rsidRDefault="0054481A" w:rsidP="0054481A">
      <w:pPr>
        <w:pStyle w:val="BBody1"/>
        <w:numPr>
          <w:ilvl w:val="0"/>
          <w:numId w:val="0"/>
        </w:numPr>
        <w:jc w:val="both"/>
        <w:rPr>
          <w:rStyle w:val="CBody2Char"/>
        </w:rPr>
      </w:pPr>
      <w:r w:rsidRPr="00453342">
        <w:rPr>
          <w:rStyle w:val="CBody2Char"/>
        </w:rPr>
        <w:t>Article 94 of the Planning and Development Regulations, 2001 and associated Schedule 6 set out requirements on the contents of an EIAR.</w:t>
      </w:r>
    </w:p>
    <w:p w14:paraId="2FC4A591" w14:textId="37C5DAA4" w:rsidR="007F21AA" w:rsidRPr="00453342" w:rsidRDefault="0054481A" w:rsidP="007F21AA">
      <w:pPr>
        <w:pStyle w:val="BBody1"/>
        <w:numPr>
          <w:ilvl w:val="0"/>
          <w:numId w:val="0"/>
        </w:numPr>
        <w:jc w:val="both"/>
        <w:rPr>
          <w:rStyle w:val="CBody2Char"/>
        </w:rPr>
      </w:pPr>
      <w:r w:rsidRPr="00453342">
        <w:rPr>
          <w:rStyle w:val="CBody2Char"/>
        </w:rPr>
        <w:t>This EIA section of the report is therefore divided into two sections.  The first section assesses compliance with the requirements of Article 94 and Schedule 6 of the Regulations.  The second section provides an examination, analysis and evaluation of the development and an assessment of the likely direct and indirect significant</w:t>
      </w:r>
      <w:r w:rsidR="007F21AA" w:rsidRPr="00453342">
        <w:rPr>
          <w:rStyle w:val="CBody2Char"/>
        </w:rPr>
        <w:t xml:space="preserve"> effects of it on the following defined environmental parameters, having regard to the EIAR and relevant supplementary information:</w:t>
      </w:r>
    </w:p>
    <w:p w14:paraId="261076AE" w14:textId="1F379BBB" w:rsidR="007F21AA" w:rsidRPr="00CE1CA7" w:rsidRDefault="000A0D26" w:rsidP="00C6208E">
      <w:pPr>
        <w:pStyle w:val="DBodyNonum"/>
        <w:numPr>
          <w:ilvl w:val="0"/>
          <w:numId w:val="33"/>
        </w:numPr>
      </w:pPr>
      <w:r w:rsidRPr="00CE1CA7">
        <w:t>P</w:t>
      </w:r>
      <w:r w:rsidR="007F21AA" w:rsidRPr="00CE1CA7">
        <w:t>opulation and human health,</w:t>
      </w:r>
    </w:p>
    <w:p w14:paraId="60A5C43B" w14:textId="396FB613" w:rsidR="007F21AA" w:rsidRPr="00CE1CA7" w:rsidRDefault="000A0D26" w:rsidP="00C6208E">
      <w:pPr>
        <w:pStyle w:val="DBodyNonum"/>
        <w:numPr>
          <w:ilvl w:val="0"/>
          <w:numId w:val="33"/>
        </w:numPr>
      </w:pPr>
      <w:r w:rsidRPr="00CE1CA7">
        <w:lastRenderedPageBreak/>
        <w:t>B</w:t>
      </w:r>
      <w:r w:rsidR="007F21AA" w:rsidRPr="00CE1CA7">
        <w:t>iodiversity, with particular attention to species and habitats protected under the Habitats Directive and the Birds Directive,</w:t>
      </w:r>
    </w:p>
    <w:p w14:paraId="5265EF2A" w14:textId="2187CD3F" w:rsidR="007F21AA" w:rsidRPr="00CE1CA7" w:rsidRDefault="000A0D26" w:rsidP="00C6208E">
      <w:pPr>
        <w:pStyle w:val="DBodyNonum"/>
        <w:numPr>
          <w:ilvl w:val="0"/>
          <w:numId w:val="33"/>
        </w:numPr>
      </w:pPr>
      <w:r w:rsidRPr="00CE1CA7">
        <w:t>L</w:t>
      </w:r>
      <w:r w:rsidR="007F21AA" w:rsidRPr="00CE1CA7">
        <w:t xml:space="preserve">and, soil, water, </w:t>
      </w:r>
      <w:proofErr w:type="gramStart"/>
      <w:r w:rsidR="007F21AA" w:rsidRPr="00CE1CA7">
        <w:t>air</w:t>
      </w:r>
      <w:proofErr w:type="gramEnd"/>
      <w:r w:rsidR="007F21AA" w:rsidRPr="00CE1CA7">
        <w:t xml:space="preserve"> and climate,</w:t>
      </w:r>
    </w:p>
    <w:p w14:paraId="2B94EF08" w14:textId="49285466" w:rsidR="007F21AA" w:rsidRPr="00CE1CA7" w:rsidRDefault="000A0D26" w:rsidP="00C6208E">
      <w:pPr>
        <w:pStyle w:val="DBodyNonum"/>
        <w:numPr>
          <w:ilvl w:val="0"/>
          <w:numId w:val="33"/>
        </w:numPr>
      </w:pPr>
      <w:r w:rsidRPr="00CE1CA7">
        <w:t>M</w:t>
      </w:r>
      <w:r w:rsidR="007F21AA" w:rsidRPr="00CE1CA7">
        <w:t xml:space="preserve">aterial assets, cultural </w:t>
      </w:r>
      <w:proofErr w:type="gramStart"/>
      <w:r w:rsidR="007F21AA" w:rsidRPr="00CE1CA7">
        <w:t>heritage</w:t>
      </w:r>
      <w:proofErr w:type="gramEnd"/>
      <w:r w:rsidR="007F21AA" w:rsidRPr="00CE1CA7">
        <w:t xml:space="preserve"> and the landscape,</w:t>
      </w:r>
    </w:p>
    <w:p w14:paraId="0BA2D868" w14:textId="049FEB2D" w:rsidR="007F21AA" w:rsidRPr="00CE1CA7" w:rsidRDefault="000A0D26" w:rsidP="00C6208E">
      <w:pPr>
        <w:pStyle w:val="DBodyNonum"/>
        <w:numPr>
          <w:ilvl w:val="0"/>
          <w:numId w:val="33"/>
        </w:numPr>
      </w:pPr>
      <w:r w:rsidRPr="00CE1CA7">
        <w:t>T</w:t>
      </w:r>
      <w:r w:rsidR="007F21AA" w:rsidRPr="00CE1CA7">
        <w:t>he interaction between the above factors, and</w:t>
      </w:r>
    </w:p>
    <w:p w14:paraId="0154C0BD" w14:textId="5C922EFE" w:rsidR="007F21AA" w:rsidRPr="00CE1CA7" w:rsidRDefault="000A0D26" w:rsidP="00C6208E">
      <w:pPr>
        <w:pStyle w:val="DBodyNonum"/>
        <w:numPr>
          <w:ilvl w:val="0"/>
          <w:numId w:val="33"/>
        </w:numPr>
        <w:rPr>
          <w:rStyle w:val="CBody2Char"/>
        </w:rPr>
      </w:pPr>
      <w:r w:rsidRPr="00CE1CA7">
        <w:t>T</w:t>
      </w:r>
      <w:r w:rsidR="007F21AA" w:rsidRPr="00CE1CA7">
        <w:t>he vulnerability of the proposed development to risks of major accidents and/or disasters.</w:t>
      </w:r>
    </w:p>
    <w:p w14:paraId="2B72B38E" w14:textId="77777777" w:rsidR="007F21AA" w:rsidRPr="00453342" w:rsidRDefault="007F21AA" w:rsidP="007F21AA">
      <w:pPr>
        <w:pStyle w:val="BBody1"/>
        <w:numPr>
          <w:ilvl w:val="0"/>
          <w:numId w:val="0"/>
        </w:numPr>
        <w:jc w:val="both"/>
        <w:rPr>
          <w:rStyle w:val="CBody2Char"/>
        </w:rPr>
      </w:pPr>
      <w:r w:rsidRPr="00453342">
        <w:rPr>
          <w:rStyle w:val="DBodyNonumChar"/>
        </w:rPr>
        <w:t>It also provides a reasoned conclusion and allows for integration of the reasoned conclusions into the Boards decision, should they agree with the recommendation made</w:t>
      </w:r>
      <w:r w:rsidRPr="00453342">
        <w:rPr>
          <w:rStyle w:val="CBody2Char"/>
        </w:rPr>
        <w:t>.</w:t>
      </w:r>
    </w:p>
    <w:p w14:paraId="0456F432" w14:textId="77777777" w:rsidR="00421A96" w:rsidRPr="00453342" w:rsidRDefault="00421A96" w:rsidP="00675CC3">
      <w:pPr>
        <w:pStyle w:val="Heading2"/>
      </w:pPr>
      <w:r w:rsidRPr="00453342">
        <w:t>Issues Raised in Respect of EIA</w:t>
      </w:r>
    </w:p>
    <w:p w14:paraId="16E2D2CC" w14:textId="765C50C2" w:rsidR="00421A96" w:rsidRPr="00453342" w:rsidRDefault="00421A96" w:rsidP="00675CC3">
      <w:pPr>
        <w:pStyle w:val="BBody1"/>
        <w:numPr>
          <w:ilvl w:val="0"/>
          <w:numId w:val="0"/>
        </w:numPr>
      </w:pPr>
      <w:r w:rsidRPr="00453342">
        <w:t xml:space="preserve">Issues raised in respect of EIA by </w:t>
      </w:r>
      <w:r w:rsidR="00675CC3" w:rsidRPr="00453342">
        <w:t xml:space="preserve">Prescribed Bodies and </w:t>
      </w:r>
      <w:proofErr w:type="gramStart"/>
      <w:r w:rsidR="00675CC3" w:rsidRPr="00453342">
        <w:t>T</w:t>
      </w:r>
      <w:r w:rsidRPr="00453342">
        <w:t xml:space="preserve">hird </w:t>
      </w:r>
      <w:r w:rsidR="00675CC3" w:rsidRPr="00453342">
        <w:t>P</w:t>
      </w:r>
      <w:r w:rsidRPr="00453342">
        <w:t>art</w:t>
      </w:r>
      <w:r w:rsidR="00675CC3" w:rsidRPr="00453342">
        <w:t>y</w:t>
      </w:r>
      <w:proofErr w:type="gramEnd"/>
      <w:r w:rsidR="00675CC3" w:rsidRPr="00453342">
        <w:t xml:space="preserve"> Observers</w:t>
      </w:r>
      <w:r w:rsidRPr="00453342">
        <w:t>:</w:t>
      </w:r>
    </w:p>
    <w:p w14:paraId="4B719F84" w14:textId="50C7657B" w:rsidR="0047193A" w:rsidRDefault="0080245B" w:rsidP="00C6208E">
      <w:pPr>
        <w:pStyle w:val="DBodyNonum"/>
        <w:numPr>
          <w:ilvl w:val="0"/>
          <w:numId w:val="70"/>
        </w:numPr>
      </w:pPr>
      <w:r w:rsidRPr="0080245B">
        <w:t>Emissions, Noise and Waste Impact</w:t>
      </w:r>
    </w:p>
    <w:p w14:paraId="25C8DFD9" w14:textId="501F6E2F" w:rsidR="004D21E4" w:rsidRDefault="004D21E4" w:rsidP="00C6208E">
      <w:pPr>
        <w:pStyle w:val="DBodyNonum"/>
        <w:numPr>
          <w:ilvl w:val="0"/>
          <w:numId w:val="70"/>
        </w:numPr>
      </w:pPr>
      <w:r>
        <w:t>Human Health</w:t>
      </w:r>
    </w:p>
    <w:p w14:paraId="16ABD796" w14:textId="156B6328" w:rsidR="004D21E4" w:rsidRDefault="004D21E4" w:rsidP="00C6208E">
      <w:pPr>
        <w:pStyle w:val="DBodyNonum"/>
        <w:numPr>
          <w:ilvl w:val="0"/>
          <w:numId w:val="70"/>
        </w:numPr>
      </w:pPr>
      <w:r>
        <w:t xml:space="preserve">Climate </w:t>
      </w:r>
      <w:r w:rsidR="00194187">
        <w:t>and Flood Risk</w:t>
      </w:r>
    </w:p>
    <w:p w14:paraId="346B152E" w14:textId="4EFD008E" w:rsidR="004D21E4" w:rsidRPr="0080245B" w:rsidRDefault="00B46327" w:rsidP="00C6208E">
      <w:pPr>
        <w:pStyle w:val="DBodyNonum"/>
        <w:numPr>
          <w:ilvl w:val="0"/>
          <w:numId w:val="70"/>
        </w:numPr>
      </w:pPr>
      <w:r>
        <w:t xml:space="preserve">Construction Phase </w:t>
      </w:r>
      <w:r w:rsidR="004D21E4">
        <w:t>Traffic</w:t>
      </w:r>
      <w:r>
        <w:t xml:space="preserve"> and Transport</w:t>
      </w:r>
    </w:p>
    <w:p w14:paraId="0E9A75B3" w14:textId="77777777" w:rsidR="008F259E" w:rsidRPr="00453342" w:rsidRDefault="008F259E" w:rsidP="00291CD0">
      <w:pPr>
        <w:pStyle w:val="Heading2"/>
        <w:jc w:val="both"/>
      </w:pPr>
      <w:r w:rsidRPr="0080245B">
        <w:t>Compliance with the Requirements of Article 94 and Schedule 6 of the</w:t>
      </w:r>
      <w:r w:rsidRPr="00453342">
        <w:t xml:space="preserve"> Regulations 2001</w:t>
      </w:r>
    </w:p>
    <w:p w14:paraId="74DECD08" w14:textId="0432BDFE" w:rsidR="003879E7" w:rsidRPr="00453342" w:rsidRDefault="003879E7" w:rsidP="003879E7">
      <w:pPr>
        <w:pStyle w:val="BBody1"/>
        <w:numPr>
          <w:ilvl w:val="0"/>
          <w:numId w:val="0"/>
        </w:numPr>
      </w:pPr>
      <w:r w:rsidRPr="00453342">
        <w:t xml:space="preserve">The Applicants EIAR is presented as three volumes: </w:t>
      </w:r>
    </w:p>
    <w:p w14:paraId="3A256D2F" w14:textId="782A188D" w:rsidR="003879E7" w:rsidRPr="00453342" w:rsidRDefault="003879E7" w:rsidP="00C6208E">
      <w:pPr>
        <w:pStyle w:val="BBody1"/>
        <w:numPr>
          <w:ilvl w:val="0"/>
          <w:numId w:val="34"/>
        </w:numPr>
      </w:pPr>
      <w:r w:rsidRPr="00453342">
        <w:t xml:space="preserve">Volume I – Environmental Impact Assessment Report (Main Text). </w:t>
      </w:r>
    </w:p>
    <w:p w14:paraId="7FC73B11" w14:textId="2C353931" w:rsidR="003879E7" w:rsidRPr="00453342" w:rsidRDefault="003879E7" w:rsidP="00C6208E">
      <w:pPr>
        <w:pStyle w:val="BBody1"/>
        <w:numPr>
          <w:ilvl w:val="0"/>
          <w:numId w:val="34"/>
        </w:numPr>
      </w:pPr>
      <w:r w:rsidRPr="00453342">
        <w:t xml:space="preserve">Volume II – Appendices; and </w:t>
      </w:r>
    </w:p>
    <w:p w14:paraId="11A38791" w14:textId="77777777" w:rsidR="00291CD0" w:rsidRPr="00453342" w:rsidRDefault="003879E7" w:rsidP="00C6208E">
      <w:pPr>
        <w:pStyle w:val="BBody1"/>
        <w:numPr>
          <w:ilvl w:val="0"/>
          <w:numId w:val="34"/>
        </w:numPr>
      </w:pPr>
      <w:r w:rsidRPr="00453342">
        <w:t xml:space="preserve">Volume III – Figures. </w:t>
      </w:r>
    </w:p>
    <w:p w14:paraId="541AE92B" w14:textId="652D3051" w:rsidR="00253945" w:rsidRPr="00453342" w:rsidRDefault="003879E7" w:rsidP="00C6208E">
      <w:pPr>
        <w:pStyle w:val="BBody1"/>
        <w:numPr>
          <w:ilvl w:val="0"/>
          <w:numId w:val="34"/>
        </w:numPr>
        <w:rPr>
          <w:b/>
          <w:bCs/>
        </w:rPr>
      </w:pPr>
      <w:r w:rsidRPr="00453342">
        <w:t>A Non-Technical Summary (NTS) is also provided as a standalone document.</w:t>
      </w:r>
    </w:p>
    <w:p w14:paraId="780D0C15" w14:textId="1A71A7EA" w:rsidR="00291CD0" w:rsidRDefault="00291CD0" w:rsidP="00291CD0">
      <w:pPr>
        <w:pStyle w:val="DBodyNonum"/>
      </w:pPr>
      <w:r w:rsidRPr="00453342">
        <w:t xml:space="preserve">I assess below compliance with the requirements of Article 94 </w:t>
      </w:r>
      <w:r w:rsidR="00D6464D" w:rsidRPr="00453342">
        <w:t xml:space="preserve">and Schedule 6 of the </w:t>
      </w:r>
      <w:r w:rsidR="00CE317E" w:rsidRPr="00453342">
        <w:t>Planning and Development Regulations 2001(as amended</w:t>
      </w:r>
      <w:proofErr w:type="gramStart"/>
      <w:r w:rsidR="00CE317E" w:rsidRPr="00453342">
        <w:t>)</w:t>
      </w:r>
      <w:r w:rsidR="00D6464D" w:rsidRPr="00453342">
        <w:t>;</w:t>
      </w:r>
      <w:proofErr w:type="gramEnd"/>
      <w:r w:rsidRPr="00453342">
        <w:t xml:space="preserve"> </w:t>
      </w:r>
    </w:p>
    <w:p w14:paraId="7BF904E8" w14:textId="77777777" w:rsidR="002C63E9" w:rsidRPr="00453342" w:rsidRDefault="002C63E9" w:rsidP="00291CD0">
      <w:pPr>
        <w:pStyle w:val="DBodyNonum"/>
        <w:rPr>
          <w:rStyle w:val="CBody2Char"/>
        </w:rPr>
      </w:pPr>
    </w:p>
    <w:tbl>
      <w:tblPr>
        <w:tblStyle w:val="TableGrid"/>
        <w:tblW w:w="0" w:type="auto"/>
        <w:tblInd w:w="-431" w:type="dxa"/>
        <w:tblLook w:val="04A0" w:firstRow="1" w:lastRow="0" w:firstColumn="1" w:lastColumn="0" w:noHBand="0" w:noVBand="1"/>
      </w:tblPr>
      <w:tblGrid>
        <w:gridCol w:w="9447"/>
      </w:tblGrid>
      <w:tr w:rsidR="00253945" w:rsidRPr="00453342" w14:paraId="0BF2D5D8" w14:textId="77777777" w:rsidTr="00416F9B">
        <w:tc>
          <w:tcPr>
            <w:tcW w:w="9447" w:type="dxa"/>
            <w:shd w:val="clear" w:color="auto" w:fill="A6A6A6" w:themeFill="background1" w:themeFillShade="A6"/>
          </w:tcPr>
          <w:p w14:paraId="276FED64" w14:textId="0C90A9AF" w:rsidR="00253945" w:rsidRPr="0014771B" w:rsidRDefault="00416F9B" w:rsidP="00416F9B">
            <w:pPr>
              <w:ind w:left="22" w:hanging="22"/>
              <w:jc w:val="both"/>
              <w:rPr>
                <w:rFonts w:ascii="Arial" w:hAnsi="Arial" w:cs="Arial"/>
                <w:b/>
                <w:bCs/>
              </w:rPr>
            </w:pPr>
            <w:bookmarkStart w:id="44" w:name="_Hlk158805454"/>
            <w:r w:rsidRPr="0014771B">
              <w:rPr>
                <w:rFonts w:ascii="Arial" w:hAnsi="Arial" w:cs="Arial"/>
                <w:b/>
                <w:bCs/>
              </w:rPr>
              <w:lastRenderedPageBreak/>
              <w:t xml:space="preserve">Table 6.1. </w:t>
            </w:r>
            <w:r w:rsidR="00253945" w:rsidRPr="0014771B">
              <w:rPr>
                <w:rFonts w:ascii="Arial" w:hAnsi="Arial" w:cs="Arial"/>
                <w:b/>
                <w:bCs/>
              </w:rPr>
              <w:t>Article 94 (a) Information to be contained in an EIAR (Schedule 6, paragraph 1)</w:t>
            </w:r>
          </w:p>
        </w:tc>
      </w:tr>
      <w:tr w:rsidR="00253945" w:rsidRPr="00453342" w14:paraId="26630754" w14:textId="77777777" w:rsidTr="00416F9B">
        <w:trPr>
          <w:trHeight w:val="971"/>
        </w:trPr>
        <w:tc>
          <w:tcPr>
            <w:tcW w:w="9447" w:type="dxa"/>
            <w:shd w:val="clear" w:color="auto" w:fill="BFBFBF" w:themeFill="background1" w:themeFillShade="BF"/>
          </w:tcPr>
          <w:p w14:paraId="626A62F4" w14:textId="2CBBA1A2" w:rsidR="00253945" w:rsidRPr="0014771B" w:rsidRDefault="00253945" w:rsidP="00A8037F">
            <w:pPr>
              <w:jc w:val="both"/>
              <w:rPr>
                <w:rFonts w:ascii="Arial" w:hAnsi="Arial" w:cs="Arial"/>
              </w:rPr>
            </w:pPr>
            <w:r w:rsidRPr="0014771B">
              <w:rPr>
                <w:rFonts w:ascii="Arial" w:hAnsi="Arial" w:cs="Arial"/>
              </w:rPr>
              <w:t xml:space="preserve">A description of the proposed development comprising information on the site, design, </w:t>
            </w:r>
            <w:proofErr w:type="gramStart"/>
            <w:r w:rsidRPr="0014771B">
              <w:rPr>
                <w:rFonts w:ascii="Arial" w:hAnsi="Arial" w:cs="Arial"/>
              </w:rPr>
              <w:t>size</w:t>
            </w:r>
            <w:proofErr w:type="gramEnd"/>
            <w:r w:rsidRPr="0014771B">
              <w:rPr>
                <w:rFonts w:ascii="Arial" w:hAnsi="Arial" w:cs="Arial"/>
              </w:rPr>
              <w:t xml:space="preserve"> and other relevant features of the proposed development (including the additional information referred to under section 94(b).</w:t>
            </w:r>
          </w:p>
        </w:tc>
      </w:tr>
      <w:tr w:rsidR="00253945" w:rsidRPr="00453342" w14:paraId="18BC6BB7" w14:textId="77777777" w:rsidTr="00416F9B">
        <w:tc>
          <w:tcPr>
            <w:tcW w:w="9447" w:type="dxa"/>
            <w:shd w:val="clear" w:color="auto" w:fill="auto"/>
          </w:tcPr>
          <w:p w14:paraId="2715441B" w14:textId="00B7B5BC" w:rsidR="009D6937" w:rsidRPr="0014771B" w:rsidRDefault="009D6937" w:rsidP="00A8037F">
            <w:pPr>
              <w:jc w:val="both"/>
              <w:rPr>
                <w:rFonts w:ascii="Arial" w:hAnsi="Arial" w:cs="Arial"/>
              </w:rPr>
            </w:pPr>
            <w:r w:rsidRPr="0014771B">
              <w:rPr>
                <w:rFonts w:ascii="Arial" w:hAnsi="Arial" w:cs="Arial"/>
              </w:rPr>
              <w:t xml:space="preserve">A description of the proposed </w:t>
            </w:r>
            <w:r w:rsidR="006268B2" w:rsidRPr="0014771B">
              <w:rPr>
                <w:rFonts w:ascii="Arial" w:hAnsi="Arial" w:cs="Arial"/>
              </w:rPr>
              <w:t xml:space="preserve">development </w:t>
            </w:r>
            <w:r w:rsidRPr="0014771B">
              <w:rPr>
                <w:rFonts w:ascii="Arial" w:hAnsi="Arial" w:cs="Arial"/>
              </w:rPr>
              <w:t>site</w:t>
            </w:r>
            <w:r w:rsidR="006268B2" w:rsidRPr="0014771B">
              <w:rPr>
                <w:rFonts w:ascii="Arial" w:hAnsi="Arial" w:cs="Arial"/>
              </w:rPr>
              <w:t xml:space="preserve"> and its location and setting</w:t>
            </w:r>
            <w:r w:rsidRPr="0014771B">
              <w:rPr>
                <w:rFonts w:ascii="Arial" w:hAnsi="Arial" w:cs="Arial"/>
              </w:rPr>
              <w:t xml:space="preserve"> is contained in Vol. 1, Chapter 4</w:t>
            </w:r>
            <w:r w:rsidR="006268B2" w:rsidRPr="0014771B">
              <w:rPr>
                <w:rFonts w:ascii="Arial" w:hAnsi="Arial" w:cs="Arial"/>
              </w:rPr>
              <w:t xml:space="preserve">.  The </w:t>
            </w:r>
            <w:r w:rsidR="007077A8" w:rsidRPr="0014771B">
              <w:rPr>
                <w:rFonts w:ascii="Arial" w:hAnsi="Arial" w:cs="Arial"/>
              </w:rPr>
              <w:t>c</w:t>
            </w:r>
            <w:r w:rsidR="006268B2" w:rsidRPr="0014771B">
              <w:rPr>
                <w:rFonts w:ascii="Arial" w:hAnsi="Arial" w:cs="Arial"/>
              </w:rPr>
              <w:t xml:space="preserve">hapter includes </w:t>
            </w:r>
            <w:r w:rsidR="00C429C9" w:rsidRPr="0014771B">
              <w:rPr>
                <w:rFonts w:ascii="Arial" w:hAnsi="Arial" w:cs="Arial"/>
              </w:rPr>
              <w:t xml:space="preserve">details on </w:t>
            </w:r>
            <w:r w:rsidR="00676EAB" w:rsidRPr="0014771B">
              <w:rPr>
                <w:rFonts w:ascii="Arial" w:hAnsi="Arial" w:cs="Arial"/>
              </w:rPr>
              <w:t xml:space="preserve">the </w:t>
            </w:r>
            <w:r w:rsidR="00D05F96" w:rsidRPr="0014771B">
              <w:rPr>
                <w:rFonts w:ascii="Arial" w:hAnsi="Arial" w:cs="Arial"/>
              </w:rPr>
              <w:t>proposed development site</w:t>
            </w:r>
            <w:r w:rsidR="007037E0" w:rsidRPr="0014771B">
              <w:rPr>
                <w:rFonts w:ascii="Arial" w:hAnsi="Arial" w:cs="Arial"/>
              </w:rPr>
              <w:t xml:space="preserve"> location and setting</w:t>
            </w:r>
            <w:r w:rsidR="00D05F96" w:rsidRPr="0014771B">
              <w:rPr>
                <w:rFonts w:ascii="Arial" w:hAnsi="Arial" w:cs="Arial"/>
              </w:rPr>
              <w:t>, the surrounding area, site history and potential environmental sensitivities/receptors</w:t>
            </w:r>
            <w:r w:rsidR="004F3596" w:rsidRPr="0014771B">
              <w:rPr>
                <w:rFonts w:ascii="Arial" w:hAnsi="Arial" w:cs="Arial"/>
              </w:rPr>
              <w:t>.</w:t>
            </w:r>
          </w:p>
          <w:p w14:paraId="101499F7" w14:textId="3B68717F" w:rsidR="000C3E75" w:rsidRPr="0014771B" w:rsidRDefault="00253945" w:rsidP="00A8037F">
            <w:pPr>
              <w:jc w:val="both"/>
              <w:rPr>
                <w:rFonts w:ascii="Arial" w:hAnsi="Arial" w:cs="Arial"/>
              </w:rPr>
            </w:pPr>
            <w:r w:rsidRPr="0014771B">
              <w:rPr>
                <w:rFonts w:ascii="Arial" w:hAnsi="Arial" w:cs="Arial"/>
              </w:rPr>
              <w:t xml:space="preserve">A description of the proposed development is contained in </w:t>
            </w:r>
            <w:r w:rsidR="00997B57" w:rsidRPr="0014771B">
              <w:rPr>
                <w:rFonts w:ascii="Arial" w:hAnsi="Arial" w:cs="Arial"/>
              </w:rPr>
              <w:t>Vol</w:t>
            </w:r>
            <w:r w:rsidR="00D01DB4" w:rsidRPr="0014771B">
              <w:rPr>
                <w:rFonts w:ascii="Arial" w:hAnsi="Arial" w:cs="Arial"/>
              </w:rPr>
              <w:t>.</w:t>
            </w:r>
            <w:r w:rsidR="00997B57" w:rsidRPr="0014771B">
              <w:rPr>
                <w:rFonts w:ascii="Arial" w:hAnsi="Arial" w:cs="Arial"/>
              </w:rPr>
              <w:t xml:space="preserve"> 1, </w:t>
            </w:r>
            <w:r w:rsidRPr="0014771B">
              <w:rPr>
                <w:rFonts w:ascii="Arial" w:hAnsi="Arial" w:cs="Arial"/>
              </w:rPr>
              <w:t xml:space="preserve">Chapter </w:t>
            </w:r>
            <w:r w:rsidR="00997B57" w:rsidRPr="0014771B">
              <w:rPr>
                <w:rFonts w:ascii="Arial" w:hAnsi="Arial" w:cs="Arial"/>
              </w:rPr>
              <w:t>5</w:t>
            </w:r>
            <w:r w:rsidRPr="0014771B">
              <w:rPr>
                <w:rFonts w:ascii="Arial" w:hAnsi="Arial" w:cs="Arial"/>
              </w:rPr>
              <w:t xml:space="preserve"> of the EIAR including design and size of the development, </w:t>
            </w:r>
            <w:r w:rsidR="000F236C" w:rsidRPr="0014771B">
              <w:rPr>
                <w:rFonts w:ascii="Arial" w:hAnsi="Arial" w:cs="Arial"/>
              </w:rPr>
              <w:t xml:space="preserve">flood defence, </w:t>
            </w:r>
            <w:r w:rsidR="006A1987" w:rsidRPr="0014771B">
              <w:rPr>
                <w:rFonts w:ascii="Arial" w:hAnsi="Arial" w:cs="Arial"/>
              </w:rPr>
              <w:t>w</w:t>
            </w:r>
            <w:r w:rsidR="000F236C" w:rsidRPr="0014771B">
              <w:rPr>
                <w:rFonts w:ascii="Arial" w:hAnsi="Arial" w:cs="Arial"/>
              </w:rPr>
              <w:t xml:space="preserve">ater </w:t>
            </w:r>
            <w:r w:rsidR="006A1987" w:rsidRPr="0014771B">
              <w:rPr>
                <w:rFonts w:ascii="Arial" w:hAnsi="Arial" w:cs="Arial"/>
              </w:rPr>
              <w:t>s</w:t>
            </w:r>
            <w:r w:rsidR="000F236C" w:rsidRPr="0014771B">
              <w:rPr>
                <w:rFonts w:ascii="Arial" w:hAnsi="Arial" w:cs="Arial"/>
              </w:rPr>
              <w:t>upply</w:t>
            </w:r>
            <w:r w:rsidR="006A1987" w:rsidRPr="0014771B">
              <w:rPr>
                <w:rFonts w:ascii="Arial" w:hAnsi="Arial" w:cs="Arial"/>
              </w:rPr>
              <w:t>, wastewater management</w:t>
            </w:r>
            <w:r w:rsidR="00F6079E" w:rsidRPr="0014771B">
              <w:rPr>
                <w:rFonts w:ascii="Arial" w:hAnsi="Arial" w:cs="Arial"/>
              </w:rPr>
              <w:t xml:space="preserve">, firefighting systems and controls, chemical storage, </w:t>
            </w:r>
            <w:r w:rsidR="00557F3F" w:rsidRPr="0014771B">
              <w:rPr>
                <w:rFonts w:ascii="Arial" w:hAnsi="Arial" w:cs="Arial"/>
              </w:rPr>
              <w:t xml:space="preserve">external lighting, demolition works, </w:t>
            </w:r>
            <w:r w:rsidRPr="0014771B">
              <w:rPr>
                <w:rFonts w:ascii="Arial" w:hAnsi="Arial" w:cs="Arial"/>
              </w:rPr>
              <w:t>construction methodology</w:t>
            </w:r>
            <w:r w:rsidR="00C91716" w:rsidRPr="0014771B">
              <w:rPr>
                <w:rFonts w:ascii="Arial" w:hAnsi="Arial" w:cs="Arial"/>
              </w:rPr>
              <w:t xml:space="preserve"> including</w:t>
            </w:r>
            <w:r w:rsidR="000C3E75" w:rsidRPr="0014771B">
              <w:rPr>
                <w:rFonts w:ascii="Arial" w:hAnsi="Arial" w:cs="Arial"/>
              </w:rPr>
              <w:t xml:space="preserve"> </w:t>
            </w:r>
            <w:r w:rsidR="0070302F" w:rsidRPr="0014771B">
              <w:rPr>
                <w:rFonts w:ascii="Arial" w:hAnsi="Arial" w:cs="Arial"/>
              </w:rPr>
              <w:t>construction waste,</w:t>
            </w:r>
            <w:r w:rsidR="0059267E" w:rsidRPr="0014771B">
              <w:rPr>
                <w:rFonts w:ascii="Arial" w:hAnsi="Arial" w:cs="Arial"/>
              </w:rPr>
              <w:t xml:space="preserve"> operational (including commissioning) phase, </w:t>
            </w:r>
            <w:r w:rsidR="002773D7" w:rsidRPr="0014771B">
              <w:rPr>
                <w:rFonts w:ascii="Arial" w:hAnsi="Arial" w:cs="Arial"/>
              </w:rPr>
              <w:t>operational traffic and transport, decommissioning phase.</w:t>
            </w:r>
          </w:p>
          <w:p w14:paraId="38831B55" w14:textId="4B042A6D" w:rsidR="00587567" w:rsidRPr="0014771B" w:rsidRDefault="00587567" w:rsidP="00A8037F">
            <w:pPr>
              <w:jc w:val="both"/>
              <w:rPr>
                <w:rFonts w:ascii="Arial" w:hAnsi="Arial" w:cs="Arial"/>
              </w:rPr>
            </w:pPr>
            <w:r w:rsidRPr="0014771B">
              <w:rPr>
                <w:rFonts w:ascii="Arial" w:hAnsi="Arial" w:cs="Arial"/>
              </w:rPr>
              <w:t>The description is adequate to enable decision making.</w:t>
            </w:r>
          </w:p>
        </w:tc>
      </w:tr>
      <w:tr w:rsidR="00253945" w:rsidRPr="00453342" w14:paraId="1EB86C24" w14:textId="77777777" w:rsidTr="00416F9B">
        <w:tc>
          <w:tcPr>
            <w:tcW w:w="9447" w:type="dxa"/>
            <w:shd w:val="clear" w:color="auto" w:fill="BFBFBF" w:themeFill="background1" w:themeFillShade="BF"/>
          </w:tcPr>
          <w:p w14:paraId="645151B5" w14:textId="65A69C47" w:rsidR="00253945" w:rsidRPr="0014771B" w:rsidRDefault="00253945" w:rsidP="00A8037F">
            <w:pPr>
              <w:jc w:val="both"/>
              <w:rPr>
                <w:rFonts w:ascii="Arial" w:hAnsi="Arial" w:cs="Arial"/>
                <w:i/>
                <w:iCs/>
              </w:rPr>
            </w:pPr>
            <w:r w:rsidRPr="0014771B">
              <w:rPr>
                <w:rFonts w:ascii="Arial" w:hAnsi="Arial" w:cs="Arial"/>
              </w:rPr>
              <w:t>A description of the likely significant effects on the environment of the proposed development (including the additional information referred to under section 94(b).</w:t>
            </w:r>
          </w:p>
        </w:tc>
      </w:tr>
      <w:tr w:rsidR="00253945" w:rsidRPr="00453342" w14:paraId="62D52AF3" w14:textId="77777777" w:rsidTr="00416F9B">
        <w:tc>
          <w:tcPr>
            <w:tcW w:w="9447" w:type="dxa"/>
            <w:shd w:val="clear" w:color="auto" w:fill="auto"/>
          </w:tcPr>
          <w:p w14:paraId="4FFCDEDC" w14:textId="77777777" w:rsidR="00396702" w:rsidRPr="0014771B" w:rsidRDefault="00396702" w:rsidP="00A8037F">
            <w:pPr>
              <w:jc w:val="both"/>
              <w:rPr>
                <w:rFonts w:ascii="Arial" w:hAnsi="Arial" w:cs="Arial"/>
              </w:rPr>
            </w:pPr>
          </w:p>
          <w:p w14:paraId="445B898A" w14:textId="4CF0E137" w:rsidR="007502B7" w:rsidRPr="0014771B" w:rsidRDefault="00026BB0" w:rsidP="00A8037F">
            <w:pPr>
              <w:jc w:val="both"/>
              <w:rPr>
                <w:rFonts w:ascii="Arial" w:hAnsi="Arial" w:cs="Arial"/>
              </w:rPr>
            </w:pPr>
            <w:r w:rsidRPr="0014771B">
              <w:rPr>
                <w:rFonts w:ascii="Arial" w:hAnsi="Arial" w:cs="Arial"/>
              </w:rPr>
              <w:t>Chapters 7 - 19</w:t>
            </w:r>
            <w:r w:rsidR="00A417A8" w:rsidRPr="0014771B">
              <w:rPr>
                <w:rFonts w:ascii="Arial" w:hAnsi="Arial" w:cs="Arial"/>
              </w:rPr>
              <w:t xml:space="preserve"> of the EIAR</w:t>
            </w:r>
            <w:r w:rsidR="00FC5947" w:rsidRPr="0014771B">
              <w:rPr>
                <w:rFonts w:ascii="Arial" w:hAnsi="Arial" w:cs="Arial"/>
              </w:rPr>
              <w:t xml:space="preserve"> describes </w:t>
            </w:r>
            <w:r w:rsidR="00130CDA" w:rsidRPr="0014771B">
              <w:rPr>
                <w:rFonts w:ascii="Arial" w:hAnsi="Arial" w:cs="Arial"/>
              </w:rPr>
              <w:t xml:space="preserve">the significant effects on the </w:t>
            </w:r>
            <w:r w:rsidR="00C1417B" w:rsidRPr="0014771B">
              <w:rPr>
                <w:rFonts w:ascii="Arial" w:hAnsi="Arial" w:cs="Arial"/>
              </w:rPr>
              <w:t>environment</w:t>
            </w:r>
            <w:r w:rsidR="006C2601" w:rsidRPr="0014771B">
              <w:rPr>
                <w:rFonts w:ascii="Arial" w:hAnsi="Arial" w:cs="Arial"/>
              </w:rPr>
              <w:t xml:space="preserve"> as </w:t>
            </w:r>
            <w:proofErr w:type="gramStart"/>
            <w:r w:rsidR="006C2601" w:rsidRPr="0014771B">
              <w:rPr>
                <w:rFonts w:ascii="Arial" w:hAnsi="Arial" w:cs="Arial"/>
              </w:rPr>
              <w:t>follows</w:t>
            </w:r>
            <w:r w:rsidR="00C1417B" w:rsidRPr="0014771B">
              <w:rPr>
                <w:rFonts w:ascii="Arial" w:hAnsi="Arial" w:cs="Arial"/>
              </w:rPr>
              <w:t>;</w:t>
            </w:r>
            <w:proofErr w:type="gramEnd"/>
          </w:p>
          <w:tbl>
            <w:tblPr>
              <w:tblStyle w:val="TableGrid"/>
              <w:tblW w:w="0" w:type="auto"/>
              <w:tblLook w:val="04A0" w:firstRow="1" w:lastRow="0" w:firstColumn="1" w:lastColumn="0" w:noHBand="0" w:noVBand="1"/>
            </w:tblPr>
            <w:tblGrid>
              <w:gridCol w:w="2002"/>
              <w:gridCol w:w="4976"/>
              <w:gridCol w:w="1544"/>
            </w:tblGrid>
            <w:tr w:rsidR="00E40E08" w:rsidRPr="0014771B" w14:paraId="029AA21C" w14:textId="77777777" w:rsidTr="001267F5">
              <w:tc>
                <w:tcPr>
                  <w:tcW w:w="8522" w:type="dxa"/>
                  <w:gridSpan w:val="3"/>
                </w:tcPr>
                <w:p w14:paraId="45EC0E9B" w14:textId="77777777" w:rsidR="00396702" w:rsidRPr="0014771B" w:rsidRDefault="00396702" w:rsidP="00C80340">
                  <w:pPr>
                    <w:jc w:val="both"/>
                    <w:rPr>
                      <w:rFonts w:ascii="Arial" w:hAnsi="Arial" w:cs="Arial"/>
                      <w:b/>
                      <w:bCs/>
                    </w:rPr>
                  </w:pPr>
                </w:p>
                <w:p w14:paraId="729EB0C8" w14:textId="0C9116CB" w:rsidR="00E40E08" w:rsidRPr="0014771B" w:rsidRDefault="00E40E08" w:rsidP="00C80340">
                  <w:pPr>
                    <w:jc w:val="both"/>
                    <w:rPr>
                      <w:rFonts w:ascii="Arial" w:hAnsi="Arial" w:cs="Arial"/>
                      <w:b/>
                      <w:bCs/>
                    </w:rPr>
                  </w:pPr>
                  <w:r w:rsidRPr="0014771B">
                    <w:rPr>
                      <w:rFonts w:ascii="Arial" w:hAnsi="Arial" w:cs="Arial"/>
                      <w:b/>
                      <w:bCs/>
                    </w:rPr>
                    <w:t>Table 6.1</w:t>
                  </w:r>
                  <w:r w:rsidR="00735F2E" w:rsidRPr="0014771B">
                    <w:rPr>
                      <w:rFonts w:ascii="Arial" w:hAnsi="Arial" w:cs="Arial"/>
                      <w:b/>
                      <w:bCs/>
                    </w:rPr>
                    <w:t>.1</w:t>
                  </w:r>
                  <w:r w:rsidRPr="0014771B">
                    <w:rPr>
                      <w:rFonts w:ascii="Arial" w:hAnsi="Arial" w:cs="Arial"/>
                      <w:b/>
                      <w:bCs/>
                    </w:rPr>
                    <w:t xml:space="preserve"> – Summary Table of </w:t>
                  </w:r>
                  <w:r w:rsidR="00396702" w:rsidRPr="0014771B">
                    <w:rPr>
                      <w:rFonts w:ascii="Arial" w:hAnsi="Arial" w:cs="Arial"/>
                      <w:b/>
                      <w:bCs/>
                    </w:rPr>
                    <w:t>Adequacy of Information on Likely Significant Impacts</w:t>
                  </w:r>
                </w:p>
                <w:p w14:paraId="06944EAB" w14:textId="1780DEB2" w:rsidR="00396702" w:rsidRPr="0014771B" w:rsidRDefault="00396702" w:rsidP="00C80340">
                  <w:pPr>
                    <w:jc w:val="both"/>
                    <w:rPr>
                      <w:rFonts w:ascii="Arial" w:hAnsi="Arial" w:cs="Arial"/>
                      <w:b/>
                      <w:bCs/>
                    </w:rPr>
                  </w:pPr>
                </w:p>
              </w:tc>
            </w:tr>
            <w:tr w:rsidR="00B20B4E" w:rsidRPr="0014771B" w14:paraId="5CCDAA86" w14:textId="3B99CD55" w:rsidTr="00AC68CB">
              <w:tc>
                <w:tcPr>
                  <w:tcW w:w="2002" w:type="dxa"/>
                </w:tcPr>
                <w:p w14:paraId="2E7CCFC6" w14:textId="3CB1F857" w:rsidR="00B20B4E" w:rsidRPr="0014771B" w:rsidRDefault="00B20B4E" w:rsidP="00C80340">
                  <w:pPr>
                    <w:jc w:val="both"/>
                    <w:rPr>
                      <w:rFonts w:ascii="Arial" w:hAnsi="Arial" w:cs="Arial"/>
                      <w:b/>
                      <w:bCs/>
                    </w:rPr>
                  </w:pPr>
                  <w:r w:rsidRPr="0014771B">
                    <w:rPr>
                      <w:rFonts w:ascii="Arial" w:hAnsi="Arial" w:cs="Arial"/>
                      <w:b/>
                      <w:bCs/>
                    </w:rPr>
                    <w:t>Technical</w:t>
                  </w:r>
                  <w:r w:rsidR="003E03EF" w:rsidRPr="0014771B">
                    <w:rPr>
                      <w:rFonts w:ascii="Arial" w:hAnsi="Arial" w:cs="Arial"/>
                      <w:b/>
                      <w:bCs/>
                    </w:rPr>
                    <w:t xml:space="preserve"> </w:t>
                  </w:r>
                  <w:r w:rsidRPr="0014771B">
                    <w:rPr>
                      <w:rFonts w:ascii="Arial" w:hAnsi="Arial" w:cs="Arial"/>
                      <w:b/>
                      <w:bCs/>
                    </w:rPr>
                    <w:t>Chapter</w:t>
                  </w:r>
                </w:p>
              </w:tc>
              <w:tc>
                <w:tcPr>
                  <w:tcW w:w="4976" w:type="dxa"/>
                </w:tcPr>
                <w:p w14:paraId="053BA8F6" w14:textId="73C4EFF7" w:rsidR="00B20B4E" w:rsidRPr="0014771B" w:rsidRDefault="00B20B4E" w:rsidP="00C80340">
                  <w:pPr>
                    <w:jc w:val="both"/>
                    <w:rPr>
                      <w:rFonts w:ascii="Arial" w:hAnsi="Arial" w:cs="Arial"/>
                      <w:b/>
                      <w:bCs/>
                    </w:rPr>
                  </w:pPr>
                  <w:r w:rsidRPr="0014771B">
                    <w:rPr>
                      <w:rFonts w:ascii="Arial" w:hAnsi="Arial" w:cs="Arial"/>
                      <w:b/>
                      <w:bCs/>
                    </w:rPr>
                    <w:t xml:space="preserve">Description of Likely Significant Impacts </w:t>
                  </w:r>
                </w:p>
              </w:tc>
              <w:tc>
                <w:tcPr>
                  <w:tcW w:w="1544" w:type="dxa"/>
                </w:tcPr>
                <w:p w14:paraId="16670023" w14:textId="60996F6B" w:rsidR="00B20B4E" w:rsidRPr="0014771B" w:rsidRDefault="00B20B4E" w:rsidP="00C80340">
                  <w:pPr>
                    <w:jc w:val="both"/>
                    <w:rPr>
                      <w:rFonts w:ascii="Arial" w:hAnsi="Arial" w:cs="Arial"/>
                      <w:b/>
                      <w:bCs/>
                    </w:rPr>
                  </w:pPr>
                  <w:r w:rsidRPr="0014771B">
                    <w:rPr>
                      <w:rFonts w:ascii="Arial" w:hAnsi="Arial" w:cs="Arial"/>
                      <w:b/>
                      <w:bCs/>
                    </w:rPr>
                    <w:t>Adequacy of Information (Y/N)</w:t>
                  </w:r>
                </w:p>
              </w:tc>
            </w:tr>
            <w:tr w:rsidR="00B20B4E" w:rsidRPr="0014771B" w14:paraId="274A124F" w14:textId="311F2005" w:rsidTr="00AC68CB">
              <w:tc>
                <w:tcPr>
                  <w:tcW w:w="2002" w:type="dxa"/>
                </w:tcPr>
                <w:p w14:paraId="217F93DB" w14:textId="3658031D" w:rsidR="00B20B4E" w:rsidRPr="0014771B" w:rsidRDefault="00B20B4E" w:rsidP="00C80340">
                  <w:pPr>
                    <w:jc w:val="both"/>
                    <w:rPr>
                      <w:rFonts w:ascii="Arial" w:hAnsi="Arial" w:cs="Arial"/>
                      <w:b/>
                      <w:bCs/>
                    </w:rPr>
                  </w:pPr>
                  <w:r w:rsidRPr="0014771B">
                    <w:rPr>
                      <w:rFonts w:ascii="Arial" w:hAnsi="Arial" w:cs="Arial"/>
                      <w:b/>
                      <w:bCs/>
                    </w:rPr>
                    <w:t>Chapter 7</w:t>
                  </w:r>
                </w:p>
                <w:p w14:paraId="768D56DB" w14:textId="73551124" w:rsidR="00B20B4E" w:rsidRPr="0014771B" w:rsidRDefault="00B20B4E" w:rsidP="00C80340">
                  <w:pPr>
                    <w:jc w:val="both"/>
                    <w:rPr>
                      <w:rFonts w:ascii="Arial" w:hAnsi="Arial" w:cs="Arial"/>
                    </w:rPr>
                  </w:pPr>
                  <w:r w:rsidRPr="0014771B">
                    <w:rPr>
                      <w:rFonts w:ascii="Arial" w:hAnsi="Arial" w:cs="Arial"/>
                      <w:b/>
                      <w:bCs/>
                    </w:rPr>
                    <w:t>Air Quality</w:t>
                  </w:r>
                </w:p>
              </w:tc>
              <w:tc>
                <w:tcPr>
                  <w:tcW w:w="4976" w:type="dxa"/>
                </w:tcPr>
                <w:p w14:paraId="2F68B86E" w14:textId="77777777" w:rsidR="00B20B4E" w:rsidRPr="0014771B" w:rsidRDefault="00B20B4E" w:rsidP="00C80340">
                  <w:pPr>
                    <w:jc w:val="both"/>
                    <w:rPr>
                      <w:rFonts w:ascii="Arial" w:hAnsi="Arial" w:cs="Arial"/>
                    </w:rPr>
                  </w:pPr>
                  <w:r w:rsidRPr="0014771B">
                    <w:rPr>
                      <w:rFonts w:ascii="Arial" w:hAnsi="Arial" w:cs="Arial"/>
                    </w:rPr>
                    <w:t>Potential Impacts – Section 7.5</w:t>
                  </w:r>
                </w:p>
                <w:p w14:paraId="73005E95" w14:textId="08BF593A" w:rsidR="00B20B4E" w:rsidRPr="0014771B" w:rsidRDefault="00B20B4E" w:rsidP="00C80340">
                  <w:pPr>
                    <w:jc w:val="both"/>
                    <w:rPr>
                      <w:rFonts w:ascii="Arial" w:hAnsi="Arial" w:cs="Arial"/>
                    </w:rPr>
                  </w:pPr>
                  <w:r w:rsidRPr="0014771B">
                    <w:rPr>
                      <w:rFonts w:ascii="Arial" w:hAnsi="Arial" w:cs="Arial"/>
                    </w:rPr>
                    <w:t>Mitigation – Section 7.6</w:t>
                  </w:r>
                </w:p>
                <w:p w14:paraId="2B7421B8" w14:textId="2D1338FF" w:rsidR="00B20B4E" w:rsidRPr="0014771B" w:rsidRDefault="00B20B4E" w:rsidP="00C80340">
                  <w:pPr>
                    <w:jc w:val="both"/>
                    <w:rPr>
                      <w:rFonts w:ascii="Arial" w:hAnsi="Arial" w:cs="Arial"/>
                    </w:rPr>
                  </w:pPr>
                  <w:r w:rsidRPr="0014771B">
                    <w:rPr>
                      <w:rFonts w:ascii="Arial" w:hAnsi="Arial" w:cs="Arial"/>
                    </w:rPr>
                    <w:t>Cumulative Impacts – 7.7</w:t>
                  </w:r>
                </w:p>
                <w:p w14:paraId="5FFD8638" w14:textId="6ADD1261" w:rsidR="00B20B4E" w:rsidRPr="0014771B" w:rsidRDefault="001271F8" w:rsidP="00C80340">
                  <w:pPr>
                    <w:jc w:val="both"/>
                    <w:rPr>
                      <w:rFonts w:ascii="Arial" w:hAnsi="Arial" w:cs="Arial"/>
                    </w:rPr>
                  </w:pPr>
                  <w:r>
                    <w:rPr>
                      <w:rFonts w:ascii="Arial" w:hAnsi="Arial" w:cs="Arial"/>
                    </w:rPr>
                    <w:t>No</w:t>
                  </w:r>
                  <w:r w:rsidR="00E50663">
                    <w:rPr>
                      <w:rFonts w:ascii="Arial" w:hAnsi="Arial" w:cs="Arial"/>
                    </w:rPr>
                    <w:t xml:space="preserve"> specific Section in the Chapter on</w:t>
                  </w:r>
                  <w:r>
                    <w:rPr>
                      <w:rFonts w:ascii="Arial" w:hAnsi="Arial" w:cs="Arial"/>
                    </w:rPr>
                    <w:t xml:space="preserve"> </w:t>
                  </w:r>
                  <w:r w:rsidR="00575170">
                    <w:rPr>
                      <w:rFonts w:ascii="Arial" w:hAnsi="Arial" w:cs="Arial"/>
                    </w:rPr>
                    <w:t xml:space="preserve">Residual Impacts </w:t>
                  </w:r>
                  <w:r w:rsidR="006F63F1">
                    <w:rPr>
                      <w:rFonts w:ascii="Arial" w:hAnsi="Arial" w:cs="Arial"/>
                    </w:rPr>
                    <w:t xml:space="preserve">– </w:t>
                  </w:r>
                  <w:r w:rsidR="00E50663">
                    <w:rPr>
                      <w:rFonts w:ascii="Arial" w:hAnsi="Arial" w:cs="Arial"/>
                    </w:rPr>
                    <w:t>Conclusion of Assessment was that n</w:t>
                  </w:r>
                  <w:r w:rsidR="006F63F1">
                    <w:rPr>
                      <w:rFonts w:ascii="Arial" w:hAnsi="Arial" w:cs="Arial"/>
                    </w:rPr>
                    <w:t xml:space="preserve">o significant </w:t>
                  </w:r>
                  <w:r w:rsidR="00873DFA">
                    <w:rPr>
                      <w:rFonts w:ascii="Arial" w:hAnsi="Arial" w:cs="Arial"/>
                    </w:rPr>
                    <w:t>effects identified – Section 7.8</w:t>
                  </w:r>
                </w:p>
              </w:tc>
              <w:tc>
                <w:tcPr>
                  <w:tcW w:w="1544" w:type="dxa"/>
                </w:tcPr>
                <w:p w14:paraId="121C2F2B" w14:textId="206B24C8" w:rsidR="00B20B4E" w:rsidRPr="0014771B" w:rsidRDefault="000E1FD0" w:rsidP="00C80340">
                  <w:pPr>
                    <w:jc w:val="both"/>
                    <w:rPr>
                      <w:rFonts w:ascii="Arial" w:hAnsi="Arial" w:cs="Arial"/>
                    </w:rPr>
                  </w:pPr>
                  <w:r>
                    <w:rPr>
                      <w:rFonts w:ascii="Arial" w:hAnsi="Arial" w:cs="Arial"/>
                    </w:rPr>
                    <w:t>Y</w:t>
                  </w:r>
                </w:p>
              </w:tc>
            </w:tr>
            <w:tr w:rsidR="00B20B4E" w:rsidRPr="0014771B" w14:paraId="7711F331" w14:textId="5581BF7E" w:rsidTr="00AC68CB">
              <w:tc>
                <w:tcPr>
                  <w:tcW w:w="2002" w:type="dxa"/>
                </w:tcPr>
                <w:p w14:paraId="5E8DEB43" w14:textId="50C8E15F" w:rsidR="00B20B4E" w:rsidRPr="0014771B" w:rsidRDefault="00B20B4E" w:rsidP="00C80340">
                  <w:pPr>
                    <w:jc w:val="both"/>
                    <w:rPr>
                      <w:rFonts w:ascii="Arial" w:hAnsi="Arial" w:cs="Arial"/>
                      <w:b/>
                      <w:bCs/>
                    </w:rPr>
                  </w:pPr>
                  <w:r w:rsidRPr="0014771B">
                    <w:rPr>
                      <w:rFonts w:ascii="Arial" w:hAnsi="Arial" w:cs="Arial"/>
                      <w:b/>
                      <w:bCs/>
                    </w:rPr>
                    <w:t>Chapter 8</w:t>
                  </w:r>
                </w:p>
                <w:p w14:paraId="1377D423" w14:textId="697C3F1B" w:rsidR="00B20B4E" w:rsidRPr="0014771B" w:rsidRDefault="00B20B4E" w:rsidP="00C80340">
                  <w:pPr>
                    <w:jc w:val="both"/>
                    <w:rPr>
                      <w:rFonts w:ascii="Arial" w:hAnsi="Arial" w:cs="Arial"/>
                      <w:b/>
                      <w:bCs/>
                    </w:rPr>
                  </w:pPr>
                  <w:r w:rsidRPr="0014771B">
                    <w:rPr>
                      <w:rFonts w:ascii="Arial" w:hAnsi="Arial" w:cs="Arial"/>
                      <w:b/>
                      <w:bCs/>
                    </w:rPr>
                    <w:t>Cultural Heritage</w:t>
                  </w:r>
                </w:p>
              </w:tc>
              <w:tc>
                <w:tcPr>
                  <w:tcW w:w="4976" w:type="dxa"/>
                </w:tcPr>
                <w:p w14:paraId="422AFEEF" w14:textId="77777777" w:rsidR="00B20B4E" w:rsidRPr="0014771B" w:rsidRDefault="00B20B4E" w:rsidP="00C80340">
                  <w:pPr>
                    <w:jc w:val="both"/>
                    <w:rPr>
                      <w:rFonts w:ascii="Arial" w:hAnsi="Arial" w:cs="Arial"/>
                    </w:rPr>
                  </w:pPr>
                  <w:r w:rsidRPr="0014771B">
                    <w:rPr>
                      <w:rFonts w:ascii="Arial" w:hAnsi="Arial" w:cs="Arial"/>
                    </w:rPr>
                    <w:t xml:space="preserve">Potential Impacts - Section 8.6, </w:t>
                  </w:r>
                </w:p>
                <w:p w14:paraId="67F2F6F5" w14:textId="77777777" w:rsidR="00B20B4E" w:rsidRPr="0014771B" w:rsidRDefault="00B20B4E" w:rsidP="00C80340">
                  <w:pPr>
                    <w:jc w:val="both"/>
                    <w:rPr>
                      <w:rFonts w:ascii="Arial" w:hAnsi="Arial" w:cs="Arial"/>
                    </w:rPr>
                  </w:pPr>
                  <w:r w:rsidRPr="0014771B">
                    <w:rPr>
                      <w:rFonts w:ascii="Arial" w:hAnsi="Arial" w:cs="Arial"/>
                    </w:rPr>
                    <w:t xml:space="preserve">Mitigation Measures – Section 8.7, </w:t>
                  </w:r>
                </w:p>
                <w:p w14:paraId="61E0C441" w14:textId="77777777" w:rsidR="00B20B4E" w:rsidRPr="0014771B" w:rsidRDefault="00B20B4E" w:rsidP="00C80340">
                  <w:pPr>
                    <w:jc w:val="both"/>
                    <w:rPr>
                      <w:rFonts w:ascii="Arial" w:hAnsi="Arial" w:cs="Arial"/>
                    </w:rPr>
                  </w:pPr>
                  <w:r w:rsidRPr="0014771B">
                    <w:rPr>
                      <w:rFonts w:ascii="Arial" w:hAnsi="Arial" w:cs="Arial"/>
                    </w:rPr>
                    <w:t xml:space="preserve">Residual Impacts – Section 8.8, </w:t>
                  </w:r>
                </w:p>
                <w:p w14:paraId="498CBB86" w14:textId="6EF90279" w:rsidR="00B20B4E" w:rsidRPr="0014771B" w:rsidRDefault="00B20B4E" w:rsidP="00C80340">
                  <w:pPr>
                    <w:jc w:val="both"/>
                    <w:rPr>
                      <w:rFonts w:ascii="Arial" w:hAnsi="Arial" w:cs="Arial"/>
                    </w:rPr>
                  </w:pPr>
                  <w:r w:rsidRPr="0014771B">
                    <w:rPr>
                      <w:rFonts w:ascii="Arial" w:hAnsi="Arial" w:cs="Arial"/>
                    </w:rPr>
                    <w:t>Cumulative Impacts – Section 9.9</w:t>
                  </w:r>
                </w:p>
              </w:tc>
              <w:tc>
                <w:tcPr>
                  <w:tcW w:w="1544" w:type="dxa"/>
                </w:tcPr>
                <w:p w14:paraId="6D9C3131" w14:textId="496EE11A" w:rsidR="00B20B4E" w:rsidRPr="0014771B" w:rsidRDefault="000E1FD0" w:rsidP="00C80340">
                  <w:pPr>
                    <w:jc w:val="both"/>
                    <w:rPr>
                      <w:rFonts w:ascii="Arial" w:hAnsi="Arial" w:cs="Arial"/>
                    </w:rPr>
                  </w:pPr>
                  <w:r>
                    <w:rPr>
                      <w:rFonts w:ascii="Arial" w:hAnsi="Arial" w:cs="Arial"/>
                    </w:rPr>
                    <w:t>Y</w:t>
                  </w:r>
                </w:p>
              </w:tc>
            </w:tr>
            <w:tr w:rsidR="00B20B4E" w:rsidRPr="0014771B" w14:paraId="64598A30" w14:textId="3B7EEEB2" w:rsidTr="00AC68CB">
              <w:tc>
                <w:tcPr>
                  <w:tcW w:w="2002" w:type="dxa"/>
                </w:tcPr>
                <w:p w14:paraId="129B05ED" w14:textId="7B6FE21B" w:rsidR="00B20B4E" w:rsidRPr="0014771B" w:rsidRDefault="00B20B4E" w:rsidP="00C80340">
                  <w:pPr>
                    <w:jc w:val="both"/>
                    <w:rPr>
                      <w:rFonts w:ascii="Arial" w:hAnsi="Arial" w:cs="Arial"/>
                      <w:b/>
                      <w:bCs/>
                    </w:rPr>
                  </w:pPr>
                  <w:r w:rsidRPr="0014771B">
                    <w:rPr>
                      <w:rFonts w:ascii="Arial" w:hAnsi="Arial" w:cs="Arial"/>
                      <w:b/>
                      <w:bCs/>
                    </w:rPr>
                    <w:t>Chapter 9</w:t>
                  </w:r>
                </w:p>
                <w:p w14:paraId="7E3F7ADE" w14:textId="457AC9C3" w:rsidR="00B20B4E" w:rsidRPr="0014771B" w:rsidRDefault="00B20B4E" w:rsidP="00C80340">
                  <w:pPr>
                    <w:jc w:val="both"/>
                    <w:rPr>
                      <w:rFonts w:ascii="Arial" w:hAnsi="Arial" w:cs="Arial"/>
                      <w:b/>
                      <w:bCs/>
                    </w:rPr>
                  </w:pPr>
                  <w:r w:rsidRPr="0014771B">
                    <w:rPr>
                      <w:rFonts w:ascii="Arial" w:hAnsi="Arial" w:cs="Arial"/>
                      <w:b/>
                      <w:bCs/>
                    </w:rPr>
                    <w:t>Biodiversity</w:t>
                  </w:r>
                </w:p>
              </w:tc>
              <w:tc>
                <w:tcPr>
                  <w:tcW w:w="4976" w:type="dxa"/>
                </w:tcPr>
                <w:p w14:paraId="13D23893" w14:textId="77777777" w:rsidR="00B20B4E" w:rsidRPr="0014771B" w:rsidRDefault="00B20B4E" w:rsidP="00C80340">
                  <w:pPr>
                    <w:jc w:val="both"/>
                    <w:rPr>
                      <w:rFonts w:ascii="Arial" w:hAnsi="Arial" w:cs="Arial"/>
                    </w:rPr>
                  </w:pPr>
                  <w:r w:rsidRPr="0014771B">
                    <w:rPr>
                      <w:rFonts w:ascii="Arial" w:hAnsi="Arial" w:cs="Arial"/>
                    </w:rPr>
                    <w:t>Potential Impacts – Section 9.5</w:t>
                  </w:r>
                </w:p>
                <w:p w14:paraId="2974F76C" w14:textId="4047BC1B" w:rsidR="00B20B4E" w:rsidRPr="0014771B" w:rsidRDefault="00B20B4E" w:rsidP="00C80340">
                  <w:pPr>
                    <w:jc w:val="both"/>
                    <w:rPr>
                      <w:rFonts w:ascii="Arial" w:hAnsi="Arial" w:cs="Arial"/>
                    </w:rPr>
                  </w:pPr>
                  <w:r w:rsidRPr="0014771B">
                    <w:rPr>
                      <w:rFonts w:ascii="Arial" w:hAnsi="Arial" w:cs="Arial"/>
                    </w:rPr>
                    <w:t>Mitigation Measures – Section 9.6</w:t>
                  </w:r>
                </w:p>
                <w:p w14:paraId="2296B3CD" w14:textId="0B827A70" w:rsidR="00B20B4E" w:rsidRPr="0014771B" w:rsidRDefault="00B20B4E" w:rsidP="00C80340">
                  <w:pPr>
                    <w:jc w:val="both"/>
                    <w:rPr>
                      <w:rFonts w:ascii="Arial" w:hAnsi="Arial" w:cs="Arial"/>
                    </w:rPr>
                  </w:pPr>
                  <w:r w:rsidRPr="0014771B">
                    <w:rPr>
                      <w:rFonts w:ascii="Arial" w:hAnsi="Arial" w:cs="Arial"/>
                    </w:rPr>
                    <w:t>Residual Impacts – Section 9.7</w:t>
                  </w:r>
                </w:p>
                <w:p w14:paraId="6FB19EE2" w14:textId="72C98988" w:rsidR="00B20B4E" w:rsidRPr="0014771B" w:rsidRDefault="00B20B4E" w:rsidP="00C80340">
                  <w:pPr>
                    <w:jc w:val="both"/>
                    <w:rPr>
                      <w:rFonts w:ascii="Arial" w:hAnsi="Arial" w:cs="Arial"/>
                    </w:rPr>
                  </w:pPr>
                  <w:r w:rsidRPr="0014771B">
                    <w:rPr>
                      <w:rFonts w:ascii="Arial" w:hAnsi="Arial" w:cs="Arial"/>
                    </w:rPr>
                    <w:t>Cumulative Impacts – Section 9.8</w:t>
                  </w:r>
                </w:p>
              </w:tc>
              <w:tc>
                <w:tcPr>
                  <w:tcW w:w="1544" w:type="dxa"/>
                </w:tcPr>
                <w:p w14:paraId="0F97EF2B" w14:textId="3DBE711F" w:rsidR="00B20B4E" w:rsidRPr="0014771B" w:rsidRDefault="000E1FD0" w:rsidP="00C80340">
                  <w:pPr>
                    <w:jc w:val="both"/>
                    <w:rPr>
                      <w:rFonts w:ascii="Arial" w:hAnsi="Arial" w:cs="Arial"/>
                    </w:rPr>
                  </w:pPr>
                  <w:r>
                    <w:rPr>
                      <w:rFonts w:ascii="Arial" w:hAnsi="Arial" w:cs="Arial"/>
                    </w:rPr>
                    <w:t>Y</w:t>
                  </w:r>
                </w:p>
              </w:tc>
            </w:tr>
            <w:tr w:rsidR="00B20B4E" w:rsidRPr="0014771B" w14:paraId="06A15F60" w14:textId="40AD2E07" w:rsidTr="00AC68CB">
              <w:tc>
                <w:tcPr>
                  <w:tcW w:w="2002" w:type="dxa"/>
                </w:tcPr>
                <w:p w14:paraId="1C797EAA" w14:textId="7ED9EE47" w:rsidR="00B20B4E" w:rsidRPr="0014771B" w:rsidRDefault="00B20B4E" w:rsidP="00C80340">
                  <w:pPr>
                    <w:jc w:val="both"/>
                    <w:rPr>
                      <w:rFonts w:ascii="Arial" w:hAnsi="Arial" w:cs="Arial"/>
                      <w:b/>
                      <w:bCs/>
                    </w:rPr>
                  </w:pPr>
                  <w:r w:rsidRPr="0014771B">
                    <w:rPr>
                      <w:rFonts w:ascii="Arial" w:hAnsi="Arial" w:cs="Arial"/>
                      <w:b/>
                      <w:bCs/>
                    </w:rPr>
                    <w:t>Chapter 10</w:t>
                  </w:r>
                </w:p>
                <w:p w14:paraId="46BAC842" w14:textId="0E4231B4" w:rsidR="00B20B4E" w:rsidRPr="0014771B" w:rsidRDefault="00B20B4E" w:rsidP="00C80340">
                  <w:pPr>
                    <w:jc w:val="both"/>
                    <w:rPr>
                      <w:rFonts w:ascii="Arial" w:hAnsi="Arial" w:cs="Arial"/>
                      <w:b/>
                      <w:bCs/>
                    </w:rPr>
                  </w:pPr>
                  <w:r w:rsidRPr="0014771B">
                    <w:rPr>
                      <w:rFonts w:ascii="Arial" w:hAnsi="Arial" w:cs="Arial"/>
                      <w:b/>
                      <w:bCs/>
                    </w:rPr>
                    <w:t>Landscape and Visual</w:t>
                  </w:r>
                </w:p>
              </w:tc>
              <w:tc>
                <w:tcPr>
                  <w:tcW w:w="4976" w:type="dxa"/>
                </w:tcPr>
                <w:p w14:paraId="4AEC53C4" w14:textId="77777777" w:rsidR="00B20B4E" w:rsidRPr="0014771B" w:rsidRDefault="00B20B4E" w:rsidP="00C80340">
                  <w:pPr>
                    <w:jc w:val="both"/>
                    <w:rPr>
                      <w:rFonts w:ascii="Arial" w:hAnsi="Arial" w:cs="Arial"/>
                    </w:rPr>
                  </w:pPr>
                  <w:r w:rsidRPr="0014771B">
                    <w:rPr>
                      <w:rFonts w:ascii="Arial" w:hAnsi="Arial" w:cs="Arial"/>
                    </w:rPr>
                    <w:t>Potential Effects – Section 10.5</w:t>
                  </w:r>
                </w:p>
                <w:p w14:paraId="0C39E661" w14:textId="77777777" w:rsidR="00B20B4E" w:rsidRPr="0014771B" w:rsidRDefault="00B20B4E" w:rsidP="00C80340">
                  <w:pPr>
                    <w:jc w:val="both"/>
                    <w:rPr>
                      <w:rFonts w:ascii="Arial" w:hAnsi="Arial" w:cs="Arial"/>
                    </w:rPr>
                  </w:pPr>
                  <w:r w:rsidRPr="0014771B">
                    <w:rPr>
                      <w:rFonts w:ascii="Arial" w:hAnsi="Arial" w:cs="Arial"/>
                    </w:rPr>
                    <w:t>Mitigation Measures – Section 10.6</w:t>
                  </w:r>
                </w:p>
                <w:p w14:paraId="26128641" w14:textId="039E03B7" w:rsidR="00B20B4E" w:rsidRPr="0014771B" w:rsidRDefault="00B20B4E" w:rsidP="00C80340">
                  <w:pPr>
                    <w:jc w:val="both"/>
                    <w:rPr>
                      <w:rFonts w:ascii="Arial" w:hAnsi="Arial" w:cs="Arial"/>
                    </w:rPr>
                  </w:pPr>
                  <w:r w:rsidRPr="0014771B">
                    <w:rPr>
                      <w:rFonts w:ascii="Arial" w:hAnsi="Arial" w:cs="Arial"/>
                    </w:rPr>
                    <w:t>Residual Effects – Section 10.7</w:t>
                  </w:r>
                </w:p>
              </w:tc>
              <w:tc>
                <w:tcPr>
                  <w:tcW w:w="1544" w:type="dxa"/>
                </w:tcPr>
                <w:p w14:paraId="4ECB9B55" w14:textId="3E170401" w:rsidR="00B20B4E" w:rsidRPr="0014771B" w:rsidRDefault="00E50663" w:rsidP="00C80340">
                  <w:pPr>
                    <w:jc w:val="both"/>
                    <w:rPr>
                      <w:rFonts w:ascii="Arial" w:hAnsi="Arial" w:cs="Arial"/>
                    </w:rPr>
                  </w:pPr>
                  <w:r>
                    <w:rPr>
                      <w:rFonts w:ascii="Arial" w:hAnsi="Arial" w:cs="Arial"/>
                    </w:rPr>
                    <w:t>Y</w:t>
                  </w:r>
                </w:p>
              </w:tc>
            </w:tr>
            <w:tr w:rsidR="00B20B4E" w:rsidRPr="0014771B" w14:paraId="2A7F8F52" w14:textId="40ED76C0" w:rsidTr="00AC68CB">
              <w:tc>
                <w:tcPr>
                  <w:tcW w:w="2002" w:type="dxa"/>
                </w:tcPr>
                <w:p w14:paraId="065CAB7C" w14:textId="20302A56" w:rsidR="00B20B4E" w:rsidRPr="0014771B" w:rsidRDefault="00B20B4E" w:rsidP="00C80340">
                  <w:pPr>
                    <w:jc w:val="both"/>
                    <w:rPr>
                      <w:rFonts w:ascii="Arial" w:hAnsi="Arial" w:cs="Arial"/>
                      <w:b/>
                      <w:bCs/>
                    </w:rPr>
                  </w:pPr>
                  <w:r w:rsidRPr="0014771B">
                    <w:rPr>
                      <w:rFonts w:ascii="Arial" w:hAnsi="Arial" w:cs="Arial"/>
                      <w:b/>
                      <w:bCs/>
                    </w:rPr>
                    <w:t>Chapter 11</w:t>
                  </w:r>
                </w:p>
                <w:p w14:paraId="33003860" w14:textId="0997246A" w:rsidR="00B20B4E" w:rsidRPr="0014771B" w:rsidRDefault="00B20B4E" w:rsidP="00C80340">
                  <w:pPr>
                    <w:jc w:val="both"/>
                    <w:rPr>
                      <w:rFonts w:ascii="Arial" w:hAnsi="Arial" w:cs="Arial"/>
                      <w:b/>
                      <w:bCs/>
                    </w:rPr>
                  </w:pPr>
                  <w:r w:rsidRPr="0014771B">
                    <w:rPr>
                      <w:rFonts w:ascii="Arial" w:hAnsi="Arial" w:cs="Arial"/>
                      <w:b/>
                      <w:bCs/>
                    </w:rPr>
                    <w:t>Noise and Vibration</w:t>
                  </w:r>
                </w:p>
              </w:tc>
              <w:tc>
                <w:tcPr>
                  <w:tcW w:w="4976" w:type="dxa"/>
                </w:tcPr>
                <w:p w14:paraId="493482D3" w14:textId="77777777" w:rsidR="00B20B4E" w:rsidRPr="0014771B" w:rsidRDefault="00B20B4E" w:rsidP="00C80340">
                  <w:pPr>
                    <w:jc w:val="both"/>
                    <w:rPr>
                      <w:rFonts w:ascii="Arial" w:hAnsi="Arial" w:cs="Arial"/>
                    </w:rPr>
                  </w:pPr>
                  <w:r w:rsidRPr="0014771B">
                    <w:rPr>
                      <w:rFonts w:ascii="Arial" w:hAnsi="Arial" w:cs="Arial"/>
                    </w:rPr>
                    <w:t>Potential Impacts – Section 11.5</w:t>
                  </w:r>
                </w:p>
                <w:p w14:paraId="35BA0711" w14:textId="60089F2B" w:rsidR="00B20B4E" w:rsidRPr="0014771B" w:rsidRDefault="00B20B4E" w:rsidP="00C80340">
                  <w:pPr>
                    <w:jc w:val="both"/>
                    <w:rPr>
                      <w:rFonts w:ascii="Arial" w:hAnsi="Arial" w:cs="Arial"/>
                    </w:rPr>
                  </w:pPr>
                  <w:r w:rsidRPr="0014771B">
                    <w:rPr>
                      <w:rFonts w:ascii="Arial" w:hAnsi="Arial" w:cs="Arial"/>
                    </w:rPr>
                    <w:t>Mitigation Measures – Section 11.6</w:t>
                  </w:r>
                </w:p>
                <w:p w14:paraId="731CBE83" w14:textId="047CD013" w:rsidR="00B20B4E" w:rsidRPr="0014771B" w:rsidRDefault="00B20B4E" w:rsidP="00C80340">
                  <w:pPr>
                    <w:jc w:val="both"/>
                    <w:rPr>
                      <w:rFonts w:ascii="Arial" w:hAnsi="Arial" w:cs="Arial"/>
                    </w:rPr>
                  </w:pPr>
                  <w:r w:rsidRPr="0014771B">
                    <w:rPr>
                      <w:rFonts w:ascii="Arial" w:hAnsi="Arial" w:cs="Arial"/>
                    </w:rPr>
                    <w:t xml:space="preserve">Residual Impacts – Section </w:t>
                  </w:r>
                  <w:r w:rsidR="000D139C">
                    <w:rPr>
                      <w:rFonts w:ascii="Arial" w:hAnsi="Arial" w:cs="Arial"/>
                    </w:rPr>
                    <w:t>1</w:t>
                  </w:r>
                  <w:r w:rsidRPr="0014771B">
                    <w:rPr>
                      <w:rFonts w:ascii="Arial" w:hAnsi="Arial" w:cs="Arial"/>
                    </w:rPr>
                    <w:t>1.7</w:t>
                  </w:r>
                </w:p>
                <w:p w14:paraId="16A4A0E1" w14:textId="31351234" w:rsidR="00B20B4E" w:rsidRPr="0014771B" w:rsidRDefault="00B20B4E" w:rsidP="00C80340">
                  <w:pPr>
                    <w:jc w:val="both"/>
                    <w:rPr>
                      <w:rFonts w:ascii="Arial" w:hAnsi="Arial" w:cs="Arial"/>
                    </w:rPr>
                  </w:pPr>
                  <w:r w:rsidRPr="0014771B">
                    <w:rPr>
                      <w:rFonts w:ascii="Arial" w:hAnsi="Arial" w:cs="Arial"/>
                    </w:rPr>
                    <w:t>Cumulative Impacts – Section 11.8</w:t>
                  </w:r>
                </w:p>
              </w:tc>
              <w:tc>
                <w:tcPr>
                  <w:tcW w:w="1544" w:type="dxa"/>
                </w:tcPr>
                <w:p w14:paraId="70F18168" w14:textId="3AA0D269" w:rsidR="00B20B4E" w:rsidRPr="0014771B" w:rsidRDefault="00654A07" w:rsidP="00C80340">
                  <w:pPr>
                    <w:jc w:val="both"/>
                    <w:rPr>
                      <w:rFonts w:ascii="Arial" w:hAnsi="Arial" w:cs="Arial"/>
                    </w:rPr>
                  </w:pPr>
                  <w:r>
                    <w:rPr>
                      <w:rFonts w:ascii="Arial" w:hAnsi="Arial" w:cs="Arial"/>
                    </w:rPr>
                    <w:t>Y</w:t>
                  </w:r>
                </w:p>
              </w:tc>
            </w:tr>
            <w:tr w:rsidR="00B20B4E" w:rsidRPr="0014771B" w14:paraId="10388CA7" w14:textId="74AE81D5" w:rsidTr="00AC68CB">
              <w:tc>
                <w:tcPr>
                  <w:tcW w:w="2002" w:type="dxa"/>
                </w:tcPr>
                <w:p w14:paraId="6E1173E8" w14:textId="16D9715E" w:rsidR="00B20B4E" w:rsidRPr="0014771B" w:rsidRDefault="00B20B4E" w:rsidP="00C80340">
                  <w:pPr>
                    <w:jc w:val="both"/>
                    <w:rPr>
                      <w:rFonts w:ascii="Arial" w:hAnsi="Arial" w:cs="Arial"/>
                      <w:b/>
                      <w:bCs/>
                    </w:rPr>
                  </w:pPr>
                  <w:r w:rsidRPr="0014771B">
                    <w:rPr>
                      <w:rFonts w:ascii="Arial" w:hAnsi="Arial" w:cs="Arial"/>
                      <w:b/>
                      <w:bCs/>
                    </w:rPr>
                    <w:t>Chapter 12</w:t>
                  </w:r>
                </w:p>
                <w:p w14:paraId="6886A36D" w14:textId="72D4F03E" w:rsidR="00B20B4E" w:rsidRPr="0014771B" w:rsidRDefault="00B20B4E" w:rsidP="00C80340">
                  <w:pPr>
                    <w:jc w:val="both"/>
                    <w:rPr>
                      <w:rFonts w:ascii="Arial" w:hAnsi="Arial" w:cs="Arial"/>
                      <w:b/>
                      <w:bCs/>
                    </w:rPr>
                  </w:pPr>
                  <w:r w:rsidRPr="0014771B">
                    <w:rPr>
                      <w:rFonts w:ascii="Arial" w:hAnsi="Arial" w:cs="Arial"/>
                      <w:b/>
                      <w:bCs/>
                    </w:rPr>
                    <w:t>Water Environment</w:t>
                  </w:r>
                </w:p>
              </w:tc>
              <w:tc>
                <w:tcPr>
                  <w:tcW w:w="4976" w:type="dxa"/>
                </w:tcPr>
                <w:p w14:paraId="1DCAC501" w14:textId="2ECA04D2" w:rsidR="00B20B4E" w:rsidRPr="0014771B" w:rsidRDefault="00B20B4E" w:rsidP="00C80340">
                  <w:pPr>
                    <w:jc w:val="both"/>
                    <w:rPr>
                      <w:rFonts w:ascii="Arial" w:hAnsi="Arial" w:cs="Arial"/>
                    </w:rPr>
                  </w:pPr>
                  <w:r w:rsidRPr="0014771B">
                    <w:rPr>
                      <w:rFonts w:ascii="Arial" w:hAnsi="Arial" w:cs="Arial"/>
                    </w:rPr>
                    <w:t>Potential Impacts – Section 12.5</w:t>
                  </w:r>
                </w:p>
                <w:p w14:paraId="6905F2E5" w14:textId="77777777" w:rsidR="00B20B4E" w:rsidRPr="0014771B" w:rsidRDefault="00B20B4E" w:rsidP="00C80340">
                  <w:pPr>
                    <w:jc w:val="both"/>
                    <w:rPr>
                      <w:rFonts w:ascii="Arial" w:hAnsi="Arial" w:cs="Arial"/>
                    </w:rPr>
                  </w:pPr>
                  <w:r w:rsidRPr="0014771B">
                    <w:rPr>
                      <w:rFonts w:ascii="Arial" w:hAnsi="Arial" w:cs="Arial"/>
                    </w:rPr>
                    <w:t>Mitigation Measures – Section 12.6</w:t>
                  </w:r>
                </w:p>
                <w:p w14:paraId="7E64426E" w14:textId="68994021" w:rsidR="00B20B4E" w:rsidRPr="0014771B" w:rsidRDefault="00B20B4E" w:rsidP="00C80340">
                  <w:pPr>
                    <w:jc w:val="both"/>
                    <w:rPr>
                      <w:rFonts w:ascii="Arial" w:hAnsi="Arial" w:cs="Arial"/>
                    </w:rPr>
                  </w:pPr>
                  <w:r w:rsidRPr="0014771B">
                    <w:rPr>
                      <w:rFonts w:ascii="Arial" w:hAnsi="Arial" w:cs="Arial"/>
                    </w:rPr>
                    <w:t>Residual Impacts- Section 12.7</w:t>
                  </w:r>
                </w:p>
                <w:p w14:paraId="0670E79B" w14:textId="24C645D9" w:rsidR="00B20B4E" w:rsidRPr="0014771B" w:rsidRDefault="00B20B4E" w:rsidP="00C80340">
                  <w:pPr>
                    <w:jc w:val="both"/>
                    <w:rPr>
                      <w:rFonts w:ascii="Arial" w:hAnsi="Arial" w:cs="Arial"/>
                    </w:rPr>
                  </w:pPr>
                  <w:r w:rsidRPr="0014771B">
                    <w:rPr>
                      <w:rFonts w:ascii="Arial" w:hAnsi="Arial" w:cs="Arial"/>
                    </w:rPr>
                    <w:t>Cumulative Impacts – Section 12.8</w:t>
                  </w:r>
                </w:p>
              </w:tc>
              <w:tc>
                <w:tcPr>
                  <w:tcW w:w="1544" w:type="dxa"/>
                </w:tcPr>
                <w:p w14:paraId="65B7C9A1" w14:textId="46B4E048" w:rsidR="00B20B4E" w:rsidRPr="0014771B" w:rsidRDefault="00654A07" w:rsidP="00C80340">
                  <w:pPr>
                    <w:jc w:val="both"/>
                    <w:rPr>
                      <w:rFonts w:ascii="Arial" w:hAnsi="Arial" w:cs="Arial"/>
                    </w:rPr>
                  </w:pPr>
                  <w:r>
                    <w:rPr>
                      <w:rFonts w:ascii="Arial" w:hAnsi="Arial" w:cs="Arial"/>
                    </w:rPr>
                    <w:t>Y</w:t>
                  </w:r>
                </w:p>
              </w:tc>
            </w:tr>
            <w:tr w:rsidR="00B20B4E" w:rsidRPr="0014771B" w14:paraId="77A68332" w14:textId="52BA5B3D" w:rsidTr="00AC68CB">
              <w:tc>
                <w:tcPr>
                  <w:tcW w:w="2002" w:type="dxa"/>
                </w:tcPr>
                <w:p w14:paraId="37B114B8" w14:textId="38CDA61F" w:rsidR="00B20B4E" w:rsidRPr="0014771B" w:rsidRDefault="00B20B4E" w:rsidP="00C80340">
                  <w:pPr>
                    <w:jc w:val="both"/>
                    <w:rPr>
                      <w:rFonts w:ascii="Arial" w:hAnsi="Arial" w:cs="Arial"/>
                      <w:b/>
                      <w:bCs/>
                    </w:rPr>
                  </w:pPr>
                  <w:r w:rsidRPr="0014771B">
                    <w:rPr>
                      <w:rFonts w:ascii="Arial" w:hAnsi="Arial" w:cs="Arial"/>
                      <w:b/>
                      <w:bCs/>
                    </w:rPr>
                    <w:t>Chapter 13</w:t>
                  </w:r>
                </w:p>
                <w:p w14:paraId="03949F0E" w14:textId="2EDEE2D7" w:rsidR="00B20B4E" w:rsidRPr="0014771B" w:rsidRDefault="00B20B4E" w:rsidP="00C80340">
                  <w:pPr>
                    <w:jc w:val="both"/>
                    <w:rPr>
                      <w:rFonts w:ascii="Arial" w:hAnsi="Arial" w:cs="Arial"/>
                      <w:b/>
                      <w:bCs/>
                    </w:rPr>
                  </w:pPr>
                  <w:r w:rsidRPr="0014771B">
                    <w:rPr>
                      <w:rFonts w:ascii="Arial" w:hAnsi="Arial" w:cs="Arial"/>
                      <w:b/>
                      <w:bCs/>
                    </w:rPr>
                    <w:t>Land and Soils</w:t>
                  </w:r>
                </w:p>
              </w:tc>
              <w:tc>
                <w:tcPr>
                  <w:tcW w:w="4976" w:type="dxa"/>
                </w:tcPr>
                <w:p w14:paraId="6375F5D5" w14:textId="77777777" w:rsidR="00B20B4E" w:rsidRPr="0014771B" w:rsidRDefault="00B20B4E" w:rsidP="00C80340">
                  <w:pPr>
                    <w:jc w:val="both"/>
                    <w:rPr>
                      <w:rFonts w:ascii="Arial" w:hAnsi="Arial" w:cs="Arial"/>
                    </w:rPr>
                  </w:pPr>
                  <w:r w:rsidRPr="0014771B">
                    <w:rPr>
                      <w:rFonts w:ascii="Arial" w:hAnsi="Arial" w:cs="Arial"/>
                    </w:rPr>
                    <w:t>Potential Impacts – Section 13.6</w:t>
                  </w:r>
                </w:p>
                <w:p w14:paraId="02A60F45" w14:textId="77777777" w:rsidR="00B20B4E" w:rsidRPr="0014771B" w:rsidRDefault="00B20B4E" w:rsidP="00C80340">
                  <w:pPr>
                    <w:jc w:val="both"/>
                    <w:rPr>
                      <w:rFonts w:ascii="Arial" w:hAnsi="Arial" w:cs="Arial"/>
                    </w:rPr>
                  </w:pPr>
                  <w:r w:rsidRPr="0014771B">
                    <w:rPr>
                      <w:rFonts w:ascii="Arial" w:hAnsi="Arial" w:cs="Arial"/>
                    </w:rPr>
                    <w:t>Mitigation Measures – Section 13.7</w:t>
                  </w:r>
                </w:p>
                <w:p w14:paraId="2F60BFFC" w14:textId="77777777" w:rsidR="00B20B4E" w:rsidRPr="0014771B" w:rsidRDefault="00B20B4E" w:rsidP="00C80340">
                  <w:pPr>
                    <w:jc w:val="both"/>
                    <w:rPr>
                      <w:rFonts w:ascii="Arial" w:hAnsi="Arial" w:cs="Arial"/>
                    </w:rPr>
                  </w:pPr>
                  <w:r w:rsidRPr="0014771B">
                    <w:rPr>
                      <w:rFonts w:ascii="Arial" w:hAnsi="Arial" w:cs="Arial"/>
                    </w:rPr>
                    <w:t>Residual Impacts – Section 13.8</w:t>
                  </w:r>
                </w:p>
                <w:p w14:paraId="0FCDB289" w14:textId="17405B00" w:rsidR="00B20B4E" w:rsidRPr="0014771B" w:rsidRDefault="00B20B4E" w:rsidP="00C80340">
                  <w:pPr>
                    <w:jc w:val="both"/>
                    <w:rPr>
                      <w:rFonts w:ascii="Arial" w:hAnsi="Arial" w:cs="Arial"/>
                    </w:rPr>
                  </w:pPr>
                  <w:r w:rsidRPr="0014771B">
                    <w:rPr>
                      <w:rFonts w:ascii="Arial" w:hAnsi="Arial" w:cs="Arial"/>
                    </w:rPr>
                    <w:t>Cumulative Impacts – Section 13.9</w:t>
                  </w:r>
                </w:p>
              </w:tc>
              <w:tc>
                <w:tcPr>
                  <w:tcW w:w="1544" w:type="dxa"/>
                </w:tcPr>
                <w:p w14:paraId="524B1AC9" w14:textId="240D17B4" w:rsidR="00B20B4E" w:rsidRPr="0014771B" w:rsidRDefault="00654A07" w:rsidP="00C80340">
                  <w:pPr>
                    <w:jc w:val="both"/>
                    <w:rPr>
                      <w:rFonts w:ascii="Arial" w:hAnsi="Arial" w:cs="Arial"/>
                    </w:rPr>
                  </w:pPr>
                  <w:r>
                    <w:rPr>
                      <w:rFonts w:ascii="Arial" w:hAnsi="Arial" w:cs="Arial"/>
                    </w:rPr>
                    <w:t>Y</w:t>
                  </w:r>
                </w:p>
              </w:tc>
            </w:tr>
            <w:tr w:rsidR="00B20B4E" w:rsidRPr="0014771B" w14:paraId="4019B7D4" w14:textId="29A621E9" w:rsidTr="00AC68CB">
              <w:tc>
                <w:tcPr>
                  <w:tcW w:w="2002" w:type="dxa"/>
                </w:tcPr>
                <w:p w14:paraId="504B301E" w14:textId="1B65C630" w:rsidR="00B20B4E" w:rsidRPr="0014771B" w:rsidRDefault="00B20B4E" w:rsidP="00C80340">
                  <w:pPr>
                    <w:jc w:val="both"/>
                    <w:rPr>
                      <w:rFonts w:ascii="Arial" w:hAnsi="Arial" w:cs="Arial"/>
                      <w:b/>
                      <w:bCs/>
                    </w:rPr>
                  </w:pPr>
                  <w:r w:rsidRPr="0014771B">
                    <w:rPr>
                      <w:rFonts w:ascii="Arial" w:hAnsi="Arial" w:cs="Arial"/>
                      <w:b/>
                      <w:bCs/>
                    </w:rPr>
                    <w:lastRenderedPageBreak/>
                    <w:t>Chapter 14</w:t>
                  </w:r>
                </w:p>
                <w:p w14:paraId="18A6550E" w14:textId="446ACD1A" w:rsidR="00B20B4E" w:rsidRPr="0014771B" w:rsidRDefault="00B20B4E" w:rsidP="00C80340">
                  <w:pPr>
                    <w:jc w:val="both"/>
                    <w:rPr>
                      <w:rFonts w:ascii="Arial" w:hAnsi="Arial" w:cs="Arial"/>
                      <w:b/>
                      <w:bCs/>
                    </w:rPr>
                  </w:pPr>
                  <w:r w:rsidRPr="0014771B">
                    <w:rPr>
                      <w:rFonts w:ascii="Arial" w:hAnsi="Arial" w:cs="Arial"/>
                      <w:b/>
                      <w:bCs/>
                    </w:rPr>
                    <w:t>Traffic and Transport</w:t>
                  </w:r>
                </w:p>
              </w:tc>
              <w:tc>
                <w:tcPr>
                  <w:tcW w:w="4976" w:type="dxa"/>
                </w:tcPr>
                <w:p w14:paraId="01617F2F" w14:textId="77777777" w:rsidR="00B20B4E" w:rsidRPr="0014771B" w:rsidRDefault="00B20B4E" w:rsidP="00C80340">
                  <w:pPr>
                    <w:jc w:val="both"/>
                    <w:rPr>
                      <w:rFonts w:ascii="Arial" w:hAnsi="Arial" w:cs="Arial"/>
                    </w:rPr>
                  </w:pPr>
                  <w:r w:rsidRPr="0014771B">
                    <w:rPr>
                      <w:rFonts w:ascii="Arial" w:hAnsi="Arial" w:cs="Arial"/>
                    </w:rPr>
                    <w:t>Predicted Impacts – Section 14.5</w:t>
                  </w:r>
                </w:p>
                <w:p w14:paraId="6BB1854A" w14:textId="77777777" w:rsidR="00B20B4E" w:rsidRPr="0014771B" w:rsidRDefault="00B20B4E" w:rsidP="00C80340">
                  <w:pPr>
                    <w:jc w:val="both"/>
                    <w:rPr>
                      <w:rFonts w:ascii="Arial" w:hAnsi="Arial" w:cs="Arial"/>
                    </w:rPr>
                  </w:pPr>
                  <w:r w:rsidRPr="0014771B">
                    <w:rPr>
                      <w:rFonts w:ascii="Arial" w:hAnsi="Arial" w:cs="Arial"/>
                    </w:rPr>
                    <w:t>Mitigation Measures – Section 14.6</w:t>
                  </w:r>
                </w:p>
                <w:p w14:paraId="24415A09" w14:textId="545F27AE" w:rsidR="00B20B4E" w:rsidRPr="0014771B" w:rsidRDefault="00B20B4E" w:rsidP="00C80340">
                  <w:pPr>
                    <w:jc w:val="both"/>
                    <w:rPr>
                      <w:rFonts w:ascii="Arial" w:hAnsi="Arial" w:cs="Arial"/>
                    </w:rPr>
                  </w:pPr>
                  <w:r w:rsidRPr="0014771B">
                    <w:rPr>
                      <w:rFonts w:ascii="Arial" w:hAnsi="Arial" w:cs="Arial"/>
                    </w:rPr>
                    <w:t>Residual Impacts – Section 14.7</w:t>
                  </w:r>
                </w:p>
                <w:p w14:paraId="70EB650A" w14:textId="5E7F9249" w:rsidR="00B20B4E" w:rsidRPr="0014771B" w:rsidRDefault="00B20B4E" w:rsidP="00C80340">
                  <w:pPr>
                    <w:jc w:val="both"/>
                    <w:rPr>
                      <w:rFonts w:ascii="Arial" w:hAnsi="Arial" w:cs="Arial"/>
                    </w:rPr>
                  </w:pPr>
                  <w:r w:rsidRPr="0014771B">
                    <w:rPr>
                      <w:rFonts w:ascii="Arial" w:hAnsi="Arial" w:cs="Arial"/>
                    </w:rPr>
                    <w:t>Cumulative Impacts – 14.8</w:t>
                  </w:r>
                </w:p>
              </w:tc>
              <w:tc>
                <w:tcPr>
                  <w:tcW w:w="1544" w:type="dxa"/>
                </w:tcPr>
                <w:p w14:paraId="656FB797" w14:textId="5820ECE8" w:rsidR="00B20B4E" w:rsidRPr="0014771B" w:rsidRDefault="00654A07" w:rsidP="00C80340">
                  <w:pPr>
                    <w:jc w:val="both"/>
                    <w:rPr>
                      <w:rFonts w:ascii="Arial" w:hAnsi="Arial" w:cs="Arial"/>
                    </w:rPr>
                  </w:pPr>
                  <w:r>
                    <w:rPr>
                      <w:rFonts w:ascii="Arial" w:hAnsi="Arial" w:cs="Arial"/>
                    </w:rPr>
                    <w:t>Y</w:t>
                  </w:r>
                </w:p>
              </w:tc>
            </w:tr>
            <w:tr w:rsidR="00B20B4E" w:rsidRPr="0014771B" w14:paraId="37CD0B31" w14:textId="365F8842" w:rsidTr="00AC68CB">
              <w:tc>
                <w:tcPr>
                  <w:tcW w:w="2002" w:type="dxa"/>
                </w:tcPr>
                <w:p w14:paraId="4A1DABCC" w14:textId="77777777" w:rsidR="00B20B4E" w:rsidRPr="0014771B" w:rsidRDefault="00B20B4E" w:rsidP="00C80340">
                  <w:pPr>
                    <w:jc w:val="both"/>
                    <w:rPr>
                      <w:rFonts w:ascii="Arial" w:hAnsi="Arial" w:cs="Arial"/>
                      <w:b/>
                      <w:bCs/>
                    </w:rPr>
                  </w:pPr>
                  <w:r w:rsidRPr="0014771B">
                    <w:rPr>
                      <w:rFonts w:ascii="Arial" w:hAnsi="Arial" w:cs="Arial"/>
                      <w:b/>
                      <w:bCs/>
                    </w:rPr>
                    <w:t>Chapter 15</w:t>
                  </w:r>
                </w:p>
                <w:p w14:paraId="713FCDF4" w14:textId="5385ABD3" w:rsidR="00B20B4E" w:rsidRPr="0014771B" w:rsidRDefault="00B20B4E" w:rsidP="00C80340">
                  <w:pPr>
                    <w:jc w:val="both"/>
                    <w:rPr>
                      <w:rFonts w:ascii="Arial" w:hAnsi="Arial" w:cs="Arial"/>
                      <w:b/>
                      <w:bCs/>
                    </w:rPr>
                  </w:pPr>
                  <w:r w:rsidRPr="0014771B">
                    <w:rPr>
                      <w:rFonts w:ascii="Arial" w:hAnsi="Arial" w:cs="Arial"/>
                      <w:b/>
                      <w:bCs/>
                    </w:rPr>
                    <w:t>Population and Human Health</w:t>
                  </w:r>
                </w:p>
              </w:tc>
              <w:tc>
                <w:tcPr>
                  <w:tcW w:w="4976" w:type="dxa"/>
                </w:tcPr>
                <w:p w14:paraId="2F0FDFD4" w14:textId="77777777" w:rsidR="00B20B4E" w:rsidRPr="0014771B" w:rsidRDefault="00B20B4E" w:rsidP="00C80340">
                  <w:pPr>
                    <w:jc w:val="both"/>
                    <w:rPr>
                      <w:rFonts w:ascii="Arial" w:hAnsi="Arial" w:cs="Arial"/>
                    </w:rPr>
                  </w:pPr>
                  <w:r w:rsidRPr="0014771B">
                    <w:rPr>
                      <w:rFonts w:ascii="Arial" w:hAnsi="Arial" w:cs="Arial"/>
                    </w:rPr>
                    <w:t>Potential Impacts – Section 15.5</w:t>
                  </w:r>
                </w:p>
                <w:p w14:paraId="2F74D19F" w14:textId="77777777" w:rsidR="00B20B4E" w:rsidRPr="0014771B" w:rsidRDefault="00B20B4E" w:rsidP="00C80340">
                  <w:pPr>
                    <w:jc w:val="both"/>
                    <w:rPr>
                      <w:rFonts w:ascii="Arial" w:hAnsi="Arial" w:cs="Arial"/>
                    </w:rPr>
                  </w:pPr>
                  <w:r w:rsidRPr="0014771B">
                    <w:rPr>
                      <w:rFonts w:ascii="Arial" w:hAnsi="Arial" w:cs="Arial"/>
                    </w:rPr>
                    <w:t>Mitigation Measures – Section 15.6</w:t>
                  </w:r>
                </w:p>
                <w:p w14:paraId="27E317CA" w14:textId="77777777" w:rsidR="00B20B4E" w:rsidRPr="0014771B" w:rsidRDefault="00B20B4E" w:rsidP="00C80340">
                  <w:pPr>
                    <w:jc w:val="both"/>
                    <w:rPr>
                      <w:rFonts w:ascii="Arial" w:hAnsi="Arial" w:cs="Arial"/>
                    </w:rPr>
                  </w:pPr>
                  <w:r w:rsidRPr="0014771B">
                    <w:rPr>
                      <w:rFonts w:ascii="Arial" w:hAnsi="Arial" w:cs="Arial"/>
                    </w:rPr>
                    <w:t>Cumulative Impacts – Section 15.7</w:t>
                  </w:r>
                </w:p>
                <w:p w14:paraId="4545D98D" w14:textId="36DB44B0" w:rsidR="00B20B4E" w:rsidRPr="0014771B" w:rsidRDefault="00B20B4E" w:rsidP="00C80340">
                  <w:pPr>
                    <w:jc w:val="both"/>
                    <w:rPr>
                      <w:rFonts w:ascii="Arial" w:hAnsi="Arial" w:cs="Arial"/>
                    </w:rPr>
                  </w:pPr>
                  <w:r w:rsidRPr="0014771B">
                    <w:rPr>
                      <w:rFonts w:ascii="Arial" w:hAnsi="Arial" w:cs="Arial"/>
                    </w:rPr>
                    <w:t>Residual Impacts and Summary – Section 15.9</w:t>
                  </w:r>
                </w:p>
              </w:tc>
              <w:tc>
                <w:tcPr>
                  <w:tcW w:w="1544" w:type="dxa"/>
                </w:tcPr>
                <w:p w14:paraId="09FB1C3A" w14:textId="022D6CEF" w:rsidR="00B20B4E" w:rsidRPr="0014771B" w:rsidRDefault="00654A07" w:rsidP="00C80340">
                  <w:pPr>
                    <w:jc w:val="both"/>
                    <w:rPr>
                      <w:rFonts w:ascii="Arial" w:hAnsi="Arial" w:cs="Arial"/>
                    </w:rPr>
                  </w:pPr>
                  <w:r>
                    <w:rPr>
                      <w:rFonts w:ascii="Arial" w:hAnsi="Arial" w:cs="Arial"/>
                    </w:rPr>
                    <w:t>Y</w:t>
                  </w:r>
                </w:p>
              </w:tc>
            </w:tr>
            <w:tr w:rsidR="00B20B4E" w:rsidRPr="0014771B" w14:paraId="038B3A5D" w14:textId="0EBB26BC" w:rsidTr="00AC68CB">
              <w:tc>
                <w:tcPr>
                  <w:tcW w:w="2002" w:type="dxa"/>
                </w:tcPr>
                <w:p w14:paraId="410BE029" w14:textId="77777777" w:rsidR="00B20B4E" w:rsidRPr="0014771B" w:rsidRDefault="00B20B4E" w:rsidP="00C80340">
                  <w:pPr>
                    <w:jc w:val="both"/>
                    <w:rPr>
                      <w:rFonts w:ascii="Arial" w:hAnsi="Arial" w:cs="Arial"/>
                      <w:b/>
                      <w:bCs/>
                    </w:rPr>
                  </w:pPr>
                  <w:r w:rsidRPr="0014771B">
                    <w:rPr>
                      <w:rFonts w:ascii="Arial" w:hAnsi="Arial" w:cs="Arial"/>
                      <w:b/>
                      <w:bCs/>
                    </w:rPr>
                    <w:t>Chapter 16</w:t>
                  </w:r>
                </w:p>
                <w:p w14:paraId="5734115E" w14:textId="0EED4F67" w:rsidR="00B20B4E" w:rsidRPr="0014771B" w:rsidRDefault="00B20B4E" w:rsidP="00C80340">
                  <w:pPr>
                    <w:jc w:val="both"/>
                    <w:rPr>
                      <w:rFonts w:ascii="Arial" w:hAnsi="Arial" w:cs="Arial"/>
                      <w:b/>
                      <w:bCs/>
                    </w:rPr>
                  </w:pPr>
                  <w:r w:rsidRPr="0014771B">
                    <w:rPr>
                      <w:rFonts w:ascii="Arial" w:hAnsi="Arial" w:cs="Arial"/>
                      <w:b/>
                      <w:bCs/>
                    </w:rPr>
                    <w:t>Material Assets</w:t>
                  </w:r>
                </w:p>
              </w:tc>
              <w:tc>
                <w:tcPr>
                  <w:tcW w:w="4976" w:type="dxa"/>
                </w:tcPr>
                <w:p w14:paraId="3D4B58FB" w14:textId="77777777" w:rsidR="00B20B4E" w:rsidRPr="0014771B" w:rsidRDefault="00B20B4E" w:rsidP="00C80340">
                  <w:pPr>
                    <w:jc w:val="both"/>
                    <w:rPr>
                      <w:rFonts w:ascii="Arial" w:hAnsi="Arial" w:cs="Arial"/>
                    </w:rPr>
                  </w:pPr>
                  <w:r w:rsidRPr="0014771B">
                    <w:rPr>
                      <w:rFonts w:ascii="Arial" w:hAnsi="Arial" w:cs="Arial"/>
                    </w:rPr>
                    <w:t>Potential Impacts – Section 16.5</w:t>
                  </w:r>
                </w:p>
                <w:p w14:paraId="37BF94AC" w14:textId="77777777" w:rsidR="00B20B4E" w:rsidRPr="0014771B" w:rsidRDefault="00B20B4E" w:rsidP="00C80340">
                  <w:pPr>
                    <w:jc w:val="both"/>
                    <w:rPr>
                      <w:rFonts w:ascii="Arial" w:hAnsi="Arial" w:cs="Arial"/>
                    </w:rPr>
                  </w:pPr>
                  <w:r w:rsidRPr="0014771B">
                    <w:rPr>
                      <w:rFonts w:ascii="Arial" w:hAnsi="Arial" w:cs="Arial"/>
                    </w:rPr>
                    <w:t>Mitigation Measures – Section 16.6</w:t>
                  </w:r>
                </w:p>
                <w:p w14:paraId="187E51F9" w14:textId="77777777" w:rsidR="00B20B4E" w:rsidRPr="0014771B" w:rsidRDefault="00B20B4E" w:rsidP="00C80340">
                  <w:pPr>
                    <w:jc w:val="both"/>
                    <w:rPr>
                      <w:rFonts w:ascii="Arial" w:hAnsi="Arial" w:cs="Arial"/>
                    </w:rPr>
                  </w:pPr>
                  <w:r w:rsidRPr="0014771B">
                    <w:rPr>
                      <w:rFonts w:ascii="Arial" w:hAnsi="Arial" w:cs="Arial"/>
                    </w:rPr>
                    <w:t>Residual Impacts – Section 16.7</w:t>
                  </w:r>
                </w:p>
                <w:p w14:paraId="6EF27C89" w14:textId="6826C344" w:rsidR="00B20B4E" w:rsidRPr="0014771B" w:rsidRDefault="00B20B4E" w:rsidP="00C80340">
                  <w:pPr>
                    <w:jc w:val="both"/>
                    <w:rPr>
                      <w:rFonts w:ascii="Arial" w:hAnsi="Arial" w:cs="Arial"/>
                    </w:rPr>
                  </w:pPr>
                  <w:r w:rsidRPr="0014771B">
                    <w:rPr>
                      <w:rFonts w:ascii="Arial" w:hAnsi="Arial" w:cs="Arial"/>
                    </w:rPr>
                    <w:t>Cumulative Effects – 16.8</w:t>
                  </w:r>
                </w:p>
              </w:tc>
              <w:tc>
                <w:tcPr>
                  <w:tcW w:w="1544" w:type="dxa"/>
                </w:tcPr>
                <w:p w14:paraId="3CC9A18F" w14:textId="23B8B3F0" w:rsidR="00B20B4E" w:rsidRPr="0014771B" w:rsidRDefault="00654A07" w:rsidP="00C80340">
                  <w:pPr>
                    <w:jc w:val="both"/>
                    <w:rPr>
                      <w:rFonts w:ascii="Arial" w:hAnsi="Arial" w:cs="Arial"/>
                    </w:rPr>
                  </w:pPr>
                  <w:r>
                    <w:rPr>
                      <w:rFonts w:ascii="Arial" w:hAnsi="Arial" w:cs="Arial"/>
                    </w:rPr>
                    <w:t>Y</w:t>
                  </w:r>
                </w:p>
              </w:tc>
            </w:tr>
            <w:tr w:rsidR="00B20B4E" w:rsidRPr="0014771B" w14:paraId="63EC4406" w14:textId="7E7B3F6A" w:rsidTr="00AC68CB">
              <w:tc>
                <w:tcPr>
                  <w:tcW w:w="2002" w:type="dxa"/>
                </w:tcPr>
                <w:p w14:paraId="53D44A6A" w14:textId="77777777" w:rsidR="00B20B4E" w:rsidRPr="0014771B" w:rsidRDefault="00B20B4E" w:rsidP="00C80340">
                  <w:pPr>
                    <w:jc w:val="both"/>
                    <w:rPr>
                      <w:rFonts w:ascii="Arial" w:hAnsi="Arial" w:cs="Arial"/>
                      <w:b/>
                      <w:bCs/>
                    </w:rPr>
                  </w:pPr>
                  <w:r w:rsidRPr="0014771B">
                    <w:rPr>
                      <w:rFonts w:ascii="Arial" w:hAnsi="Arial" w:cs="Arial"/>
                      <w:b/>
                      <w:bCs/>
                    </w:rPr>
                    <w:t>Chapter 17</w:t>
                  </w:r>
                </w:p>
                <w:p w14:paraId="400A3DA9" w14:textId="7CE1D58F" w:rsidR="00B20B4E" w:rsidRPr="0014771B" w:rsidRDefault="00B20B4E" w:rsidP="00C80340">
                  <w:pPr>
                    <w:jc w:val="both"/>
                    <w:rPr>
                      <w:rFonts w:ascii="Arial" w:hAnsi="Arial" w:cs="Arial"/>
                      <w:b/>
                      <w:bCs/>
                    </w:rPr>
                  </w:pPr>
                  <w:r w:rsidRPr="0014771B">
                    <w:rPr>
                      <w:rFonts w:ascii="Arial" w:hAnsi="Arial" w:cs="Arial"/>
                      <w:b/>
                      <w:bCs/>
                    </w:rPr>
                    <w:t>Climate</w:t>
                  </w:r>
                </w:p>
              </w:tc>
              <w:tc>
                <w:tcPr>
                  <w:tcW w:w="4976" w:type="dxa"/>
                </w:tcPr>
                <w:p w14:paraId="269E055D" w14:textId="77777777" w:rsidR="00B20B4E" w:rsidRPr="0014771B" w:rsidRDefault="00B20B4E" w:rsidP="00C80340">
                  <w:pPr>
                    <w:jc w:val="both"/>
                    <w:rPr>
                      <w:rFonts w:ascii="Arial" w:hAnsi="Arial" w:cs="Arial"/>
                    </w:rPr>
                  </w:pPr>
                  <w:r w:rsidRPr="0014771B">
                    <w:rPr>
                      <w:rFonts w:ascii="Arial" w:hAnsi="Arial" w:cs="Arial"/>
                    </w:rPr>
                    <w:t>Potential Impacts – Section 17.5</w:t>
                  </w:r>
                </w:p>
                <w:p w14:paraId="7A49D094" w14:textId="77777777" w:rsidR="00B20B4E" w:rsidRPr="0014771B" w:rsidRDefault="00B20B4E" w:rsidP="00C80340">
                  <w:pPr>
                    <w:jc w:val="both"/>
                    <w:rPr>
                      <w:rFonts w:ascii="Arial" w:hAnsi="Arial" w:cs="Arial"/>
                    </w:rPr>
                  </w:pPr>
                  <w:r w:rsidRPr="0014771B">
                    <w:rPr>
                      <w:rFonts w:ascii="Arial" w:hAnsi="Arial" w:cs="Arial"/>
                    </w:rPr>
                    <w:t>Residual Impacts – Section 17.6</w:t>
                  </w:r>
                </w:p>
                <w:p w14:paraId="17077DE0" w14:textId="77777777" w:rsidR="00B20B4E" w:rsidRPr="0014771B" w:rsidRDefault="00B20B4E" w:rsidP="00C80340">
                  <w:pPr>
                    <w:jc w:val="both"/>
                    <w:rPr>
                      <w:rFonts w:ascii="Arial" w:hAnsi="Arial" w:cs="Arial"/>
                    </w:rPr>
                  </w:pPr>
                  <w:r w:rsidRPr="0014771B">
                    <w:rPr>
                      <w:rFonts w:ascii="Arial" w:hAnsi="Arial" w:cs="Arial"/>
                    </w:rPr>
                    <w:t>Cumulative Effects – Section 17.7</w:t>
                  </w:r>
                </w:p>
                <w:p w14:paraId="191D9CB6" w14:textId="64484D4B" w:rsidR="00B20B4E" w:rsidRPr="0014771B" w:rsidRDefault="00B20B4E" w:rsidP="00C80340">
                  <w:pPr>
                    <w:jc w:val="both"/>
                    <w:rPr>
                      <w:rFonts w:ascii="Arial" w:hAnsi="Arial" w:cs="Arial"/>
                    </w:rPr>
                  </w:pPr>
                  <w:r w:rsidRPr="0014771B">
                    <w:rPr>
                      <w:rFonts w:ascii="Arial" w:hAnsi="Arial" w:cs="Arial"/>
                    </w:rPr>
                    <w:t>No Mitigation Measures Required – Section 17.8.2</w:t>
                  </w:r>
                </w:p>
              </w:tc>
              <w:tc>
                <w:tcPr>
                  <w:tcW w:w="1544" w:type="dxa"/>
                </w:tcPr>
                <w:p w14:paraId="593CB633" w14:textId="7FDBD0FB" w:rsidR="00B20B4E" w:rsidRPr="0014771B" w:rsidRDefault="00654A07" w:rsidP="00C80340">
                  <w:pPr>
                    <w:jc w:val="both"/>
                    <w:rPr>
                      <w:rFonts w:ascii="Arial" w:hAnsi="Arial" w:cs="Arial"/>
                    </w:rPr>
                  </w:pPr>
                  <w:r>
                    <w:rPr>
                      <w:rFonts w:ascii="Arial" w:hAnsi="Arial" w:cs="Arial"/>
                    </w:rPr>
                    <w:t>Y</w:t>
                  </w:r>
                </w:p>
              </w:tc>
            </w:tr>
            <w:tr w:rsidR="00B20B4E" w:rsidRPr="0014771B" w14:paraId="2F2DA9A7" w14:textId="61206E2E" w:rsidTr="00AC68CB">
              <w:tc>
                <w:tcPr>
                  <w:tcW w:w="2002" w:type="dxa"/>
                </w:tcPr>
                <w:p w14:paraId="57E12AC3" w14:textId="77777777" w:rsidR="00B20B4E" w:rsidRPr="0014771B" w:rsidRDefault="00B20B4E" w:rsidP="00C80340">
                  <w:pPr>
                    <w:jc w:val="both"/>
                    <w:rPr>
                      <w:rFonts w:ascii="Arial" w:hAnsi="Arial" w:cs="Arial"/>
                      <w:b/>
                      <w:bCs/>
                    </w:rPr>
                  </w:pPr>
                  <w:r w:rsidRPr="0014771B">
                    <w:rPr>
                      <w:rFonts w:ascii="Arial" w:hAnsi="Arial" w:cs="Arial"/>
                      <w:b/>
                      <w:bCs/>
                    </w:rPr>
                    <w:t>Chapter 18</w:t>
                  </w:r>
                </w:p>
                <w:p w14:paraId="1BFC0A8E" w14:textId="7CB21BCB" w:rsidR="00B20B4E" w:rsidRPr="0014771B" w:rsidRDefault="00B20B4E" w:rsidP="00C80340">
                  <w:pPr>
                    <w:jc w:val="both"/>
                    <w:rPr>
                      <w:rFonts w:ascii="Arial" w:hAnsi="Arial" w:cs="Arial"/>
                      <w:b/>
                      <w:bCs/>
                    </w:rPr>
                  </w:pPr>
                  <w:r w:rsidRPr="0014771B">
                    <w:rPr>
                      <w:rFonts w:ascii="Arial" w:hAnsi="Arial" w:cs="Arial"/>
                      <w:b/>
                      <w:bCs/>
                    </w:rPr>
                    <w:t>Waste Management</w:t>
                  </w:r>
                </w:p>
              </w:tc>
              <w:tc>
                <w:tcPr>
                  <w:tcW w:w="4976" w:type="dxa"/>
                </w:tcPr>
                <w:p w14:paraId="6F81DF8A" w14:textId="77777777" w:rsidR="00B20B4E" w:rsidRPr="0014771B" w:rsidRDefault="00B20B4E" w:rsidP="00C80340">
                  <w:pPr>
                    <w:jc w:val="both"/>
                    <w:rPr>
                      <w:rFonts w:ascii="Arial" w:hAnsi="Arial" w:cs="Arial"/>
                    </w:rPr>
                  </w:pPr>
                  <w:r w:rsidRPr="0014771B">
                    <w:rPr>
                      <w:rFonts w:ascii="Arial" w:hAnsi="Arial" w:cs="Arial"/>
                    </w:rPr>
                    <w:t>Potential Impacts – Section 18.5</w:t>
                  </w:r>
                </w:p>
                <w:p w14:paraId="112B8B22" w14:textId="77777777" w:rsidR="00B20B4E" w:rsidRPr="0014771B" w:rsidRDefault="00B20B4E" w:rsidP="00C80340">
                  <w:pPr>
                    <w:jc w:val="both"/>
                    <w:rPr>
                      <w:rFonts w:ascii="Arial" w:hAnsi="Arial" w:cs="Arial"/>
                    </w:rPr>
                  </w:pPr>
                  <w:r w:rsidRPr="0014771B">
                    <w:rPr>
                      <w:rFonts w:ascii="Arial" w:hAnsi="Arial" w:cs="Arial"/>
                    </w:rPr>
                    <w:t>Mitigation Measures – 18.6</w:t>
                  </w:r>
                </w:p>
                <w:p w14:paraId="60F8ADB3" w14:textId="77777777" w:rsidR="00B20B4E" w:rsidRPr="0014771B" w:rsidRDefault="00B20B4E" w:rsidP="00C80340">
                  <w:pPr>
                    <w:jc w:val="both"/>
                    <w:rPr>
                      <w:rFonts w:ascii="Arial" w:hAnsi="Arial" w:cs="Arial"/>
                    </w:rPr>
                  </w:pPr>
                  <w:r w:rsidRPr="0014771B">
                    <w:rPr>
                      <w:rFonts w:ascii="Arial" w:hAnsi="Arial" w:cs="Arial"/>
                    </w:rPr>
                    <w:t>Residual Impacts – 18.7</w:t>
                  </w:r>
                </w:p>
                <w:p w14:paraId="2BC8BBAE" w14:textId="1D283855" w:rsidR="00B20B4E" w:rsidRPr="0014771B" w:rsidRDefault="00B20B4E" w:rsidP="00C80340">
                  <w:pPr>
                    <w:jc w:val="both"/>
                    <w:rPr>
                      <w:rFonts w:ascii="Arial" w:hAnsi="Arial" w:cs="Arial"/>
                    </w:rPr>
                  </w:pPr>
                  <w:r w:rsidRPr="0014771B">
                    <w:rPr>
                      <w:rFonts w:ascii="Arial" w:hAnsi="Arial" w:cs="Arial"/>
                    </w:rPr>
                    <w:t>Cumulative Impacts – 18.8</w:t>
                  </w:r>
                </w:p>
              </w:tc>
              <w:tc>
                <w:tcPr>
                  <w:tcW w:w="1544" w:type="dxa"/>
                </w:tcPr>
                <w:p w14:paraId="342FCCE7" w14:textId="2EED3960" w:rsidR="00B20B4E" w:rsidRPr="0014771B" w:rsidRDefault="00654A07" w:rsidP="00C80340">
                  <w:pPr>
                    <w:jc w:val="both"/>
                    <w:rPr>
                      <w:rFonts w:ascii="Arial" w:hAnsi="Arial" w:cs="Arial"/>
                    </w:rPr>
                  </w:pPr>
                  <w:r>
                    <w:rPr>
                      <w:rFonts w:ascii="Arial" w:hAnsi="Arial" w:cs="Arial"/>
                    </w:rPr>
                    <w:t>Y</w:t>
                  </w:r>
                </w:p>
              </w:tc>
            </w:tr>
            <w:tr w:rsidR="00B20B4E" w:rsidRPr="0014771B" w14:paraId="430A6EFA" w14:textId="3C42BC41" w:rsidTr="00AC68CB">
              <w:tc>
                <w:tcPr>
                  <w:tcW w:w="2002" w:type="dxa"/>
                </w:tcPr>
                <w:p w14:paraId="477074A6" w14:textId="77777777" w:rsidR="00B20B4E" w:rsidRPr="0014771B" w:rsidRDefault="00B20B4E" w:rsidP="00C80340">
                  <w:pPr>
                    <w:jc w:val="both"/>
                    <w:rPr>
                      <w:rFonts w:ascii="Arial" w:hAnsi="Arial" w:cs="Arial"/>
                      <w:b/>
                      <w:bCs/>
                    </w:rPr>
                  </w:pPr>
                  <w:r w:rsidRPr="0014771B">
                    <w:rPr>
                      <w:rFonts w:ascii="Arial" w:hAnsi="Arial" w:cs="Arial"/>
                      <w:b/>
                      <w:bCs/>
                    </w:rPr>
                    <w:t>Chapter 19</w:t>
                  </w:r>
                </w:p>
                <w:p w14:paraId="6ABF2C11" w14:textId="25FBC991" w:rsidR="00B20B4E" w:rsidRPr="0014771B" w:rsidRDefault="00B20B4E" w:rsidP="00C80340">
                  <w:pPr>
                    <w:jc w:val="both"/>
                    <w:rPr>
                      <w:rFonts w:ascii="Arial" w:hAnsi="Arial" w:cs="Arial"/>
                      <w:b/>
                      <w:bCs/>
                    </w:rPr>
                  </w:pPr>
                  <w:r w:rsidRPr="0014771B">
                    <w:rPr>
                      <w:rFonts w:ascii="Arial" w:hAnsi="Arial" w:cs="Arial"/>
                      <w:b/>
                      <w:bCs/>
                    </w:rPr>
                    <w:t>Major Accidents and Disasters</w:t>
                  </w:r>
                </w:p>
              </w:tc>
              <w:tc>
                <w:tcPr>
                  <w:tcW w:w="4976" w:type="dxa"/>
                </w:tcPr>
                <w:p w14:paraId="24DD0311" w14:textId="77777777" w:rsidR="00B20B4E" w:rsidRPr="0014771B" w:rsidRDefault="00B20B4E" w:rsidP="00C80340">
                  <w:pPr>
                    <w:jc w:val="both"/>
                    <w:rPr>
                      <w:rFonts w:ascii="Arial" w:hAnsi="Arial" w:cs="Arial"/>
                    </w:rPr>
                  </w:pPr>
                  <w:r w:rsidRPr="0014771B">
                    <w:rPr>
                      <w:rFonts w:ascii="Arial" w:hAnsi="Arial" w:cs="Arial"/>
                    </w:rPr>
                    <w:t>Potential Impacts – Section 19.6</w:t>
                  </w:r>
                </w:p>
                <w:p w14:paraId="403254D2" w14:textId="140A276F" w:rsidR="00B20B4E" w:rsidRPr="0014771B" w:rsidRDefault="00B20B4E" w:rsidP="00C80340">
                  <w:pPr>
                    <w:jc w:val="both"/>
                    <w:rPr>
                      <w:rFonts w:ascii="Arial" w:hAnsi="Arial" w:cs="Arial"/>
                    </w:rPr>
                  </w:pPr>
                  <w:r w:rsidRPr="0014771B">
                    <w:rPr>
                      <w:rFonts w:ascii="Arial" w:hAnsi="Arial" w:cs="Arial"/>
                    </w:rPr>
                    <w:t>Mitigation Measures – Section 19.7</w:t>
                  </w:r>
                </w:p>
                <w:p w14:paraId="161A023D" w14:textId="39F11316" w:rsidR="00B20B4E" w:rsidRPr="0014771B" w:rsidRDefault="00B20B4E" w:rsidP="00C80340">
                  <w:pPr>
                    <w:jc w:val="both"/>
                    <w:rPr>
                      <w:rFonts w:ascii="Arial" w:hAnsi="Arial" w:cs="Arial"/>
                    </w:rPr>
                  </w:pPr>
                  <w:r w:rsidRPr="0014771B">
                    <w:rPr>
                      <w:rFonts w:ascii="Arial" w:hAnsi="Arial" w:cs="Arial"/>
                    </w:rPr>
                    <w:t>Cumulative Effects – Section 19.9</w:t>
                  </w:r>
                </w:p>
                <w:p w14:paraId="6C39441C" w14:textId="7F26FFC1" w:rsidR="00B20B4E" w:rsidRPr="0014771B" w:rsidRDefault="00154AE2" w:rsidP="00C80340">
                  <w:pPr>
                    <w:jc w:val="both"/>
                    <w:rPr>
                      <w:rFonts w:ascii="Arial" w:hAnsi="Arial" w:cs="Arial"/>
                    </w:rPr>
                  </w:pPr>
                  <w:r>
                    <w:rPr>
                      <w:rFonts w:ascii="Arial" w:hAnsi="Arial" w:cs="Arial"/>
                    </w:rPr>
                    <w:t>No specific Section in the Chapter on Residual Impacts – Conclusion of Assessment was that no significant effects identified</w:t>
                  </w:r>
                  <w:r w:rsidR="00E507E6">
                    <w:rPr>
                      <w:rFonts w:ascii="Arial" w:hAnsi="Arial" w:cs="Arial"/>
                    </w:rPr>
                    <w:t xml:space="preserve"> as all risk events will be mitigated to a level commensurate with ALARP</w:t>
                  </w:r>
                  <w:r>
                    <w:rPr>
                      <w:rFonts w:ascii="Arial" w:hAnsi="Arial" w:cs="Arial"/>
                    </w:rPr>
                    <w:t xml:space="preserve"> – Section </w:t>
                  </w:r>
                  <w:r w:rsidR="00E507E6">
                    <w:rPr>
                      <w:rFonts w:ascii="Arial" w:hAnsi="Arial" w:cs="Arial"/>
                    </w:rPr>
                    <w:t>19.10</w:t>
                  </w:r>
                </w:p>
              </w:tc>
              <w:tc>
                <w:tcPr>
                  <w:tcW w:w="1544" w:type="dxa"/>
                </w:tcPr>
                <w:p w14:paraId="673CDBCF" w14:textId="5DBEEC05" w:rsidR="00B20B4E" w:rsidRPr="0014771B" w:rsidRDefault="00654A07" w:rsidP="00C80340">
                  <w:pPr>
                    <w:jc w:val="both"/>
                    <w:rPr>
                      <w:rFonts w:ascii="Arial" w:hAnsi="Arial" w:cs="Arial"/>
                    </w:rPr>
                  </w:pPr>
                  <w:r>
                    <w:rPr>
                      <w:rFonts w:ascii="Arial" w:hAnsi="Arial" w:cs="Arial"/>
                    </w:rPr>
                    <w:t>Y</w:t>
                  </w:r>
                </w:p>
              </w:tc>
            </w:tr>
          </w:tbl>
          <w:p w14:paraId="000177BA" w14:textId="77777777" w:rsidR="00EC461C" w:rsidRPr="0014771B" w:rsidRDefault="00EC461C" w:rsidP="00A8037F">
            <w:pPr>
              <w:jc w:val="both"/>
              <w:rPr>
                <w:rFonts w:ascii="Arial" w:hAnsi="Arial" w:cs="Arial"/>
              </w:rPr>
            </w:pPr>
          </w:p>
          <w:p w14:paraId="14A1D59E" w14:textId="68B49437" w:rsidR="005D5FCB" w:rsidRPr="0014771B" w:rsidRDefault="005D5FCB" w:rsidP="00A8037F">
            <w:pPr>
              <w:jc w:val="both"/>
              <w:rPr>
                <w:rFonts w:ascii="Arial" w:hAnsi="Arial" w:cs="Arial"/>
              </w:rPr>
            </w:pPr>
            <w:r w:rsidRPr="0014771B">
              <w:rPr>
                <w:rFonts w:ascii="Arial" w:hAnsi="Arial" w:cs="Arial"/>
              </w:rPr>
              <w:t>Interactions are considered in EIAR Chapter 20, and a Summary and Conclusions is presented in EIAR Chapter 21.</w:t>
            </w:r>
          </w:p>
          <w:p w14:paraId="68D52140" w14:textId="77777777" w:rsidR="005D5FCB" w:rsidRPr="0014771B" w:rsidRDefault="005D5FCB" w:rsidP="00A8037F">
            <w:pPr>
              <w:jc w:val="both"/>
              <w:rPr>
                <w:rFonts w:ascii="Arial" w:hAnsi="Arial" w:cs="Arial"/>
              </w:rPr>
            </w:pPr>
          </w:p>
          <w:p w14:paraId="61ADC7C1" w14:textId="22F13EB0" w:rsidR="00253945" w:rsidRPr="0014771B" w:rsidRDefault="00253945" w:rsidP="00A8037F">
            <w:pPr>
              <w:jc w:val="both"/>
              <w:rPr>
                <w:rFonts w:ascii="Arial" w:hAnsi="Arial" w:cs="Arial"/>
              </w:rPr>
            </w:pPr>
            <w:r w:rsidRPr="0014771B">
              <w:rPr>
                <w:rFonts w:ascii="Arial" w:hAnsi="Arial" w:cs="Arial"/>
              </w:rPr>
              <w:t>An assessment of the likely significant direct, indirect, and cumulative effects of the development is carried out for each of the technical chapters of the EIAR.   I am satisfied that the assessment of significant effects is comprehensive and robust and enables decision making.</w:t>
            </w:r>
          </w:p>
        </w:tc>
      </w:tr>
      <w:tr w:rsidR="00366720" w:rsidRPr="00453342" w14:paraId="2FA57A40" w14:textId="77777777" w:rsidTr="00416F9B">
        <w:tc>
          <w:tcPr>
            <w:tcW w:w="9447" w:type="dxa"/>
            <w:shd w:val="clear" w:color="auto" w:fill="BFBFBF" w:themeFill="background1" w:themeFillShade="BF"/>
          </w:tcPr>
          <w:p w14:paraId="23452B93" w14:textId="4E408521" w:rsidR="00366720" w:rsidRPr="0014771B" w:rsidRDefault="00366720" w:rsidP="00A8037F">
            <w:pPr>
              <w:jc w:val="both"/>
              <w:rPr>
                <w:rFonts w:ascii="Arial" w:hAnsi="Arial" w:cs="Arial"/>
                <w:i/>
                <w:iCs/>
              </w:rPr>
            </w:pPr>
            <w:r w:rsidRPr="0014771B">
              <w:rPr>
                <w:rFonts w:ascii="Arial" w:hAnsi="Arial" w:cs="Arial"/>
              </w:rPr>
              <w:lastRenderedPageBreak/>
              <w:t xml:space="preserve">A description of the features, if any, of the proposed development and the measures, if any, envisaged to avoid, </w:t>
            </w:r>
            <w:proofErr w:type="gramStart"/>
            <w:r w:rsidRPr="0014771B">
              <w:rPr>
                <w:rFonts w:ascii="Arial" w:hAnsi="Arial" w:cs="Arial"/>
              </w:rPr>
              <w:t>prevent</w:t>
            </w:r>
            <w:proofErr w:type="gramEnd"/>
            <w:r w:rsidRPr="0014771B">
              <w:rPr>
                <w:rFonts w:ascii="Arial" w:hAnsi="Arial" w:cs="Arial"/>
              </w:rPr>
              <w:t xml:space="preserve"> or reduce and, if possible, offset likely significant adverse effects on the environment of the development (including the additional information referred to under section 94(b).</w:t>
            </w:r>
          </w:p>
        </w:tc>
      </w:tr>
      <w:tr w:rsidR="00253945" w:rsidRPr="00453342" w14:paraId="45DD932B" w14:textId="77777777" w:rsidTr="00416F9B">
        <w:tc>
          <w:tcPr>
            <w:tcW w:w="9447" w:type="dxa"/>
            <w:shd w:val="clear" w:color="auto" w:fill="auto"/>
          </w:tcPr>
          <w:p w14:paraId="225E6F21" w14:textId="43CCF909" w:rsidR="00696212" w:rsidRPr="0014771B" w:rsidRDefault="00366720" w:rsidP="00E073DE">
            <w:pPr>
              <w:jc w:val="both"/>
              <w:rPr>
                <w:rFonts w:ascii="Arial" w:hAnsi="Arial" w:cs="Arial"/>
                <w:color w:val="000000" w:themeColor="text1"/>
              </w:rPr>
            </w:pPr>
            <w:r w:rsidRPr="0014771B">
              <w:rPr>
                <w:rFonts w:ascii="Arial" w:hAnsi="Arial" w:cs="Arial"/>
                <w:color w:val="000000" w:themeColor="text1"/>
              </w:rPr>
              <w:t xml:space="preserve">The EIAR includes designed in mitigation measures and measures to address potential adverse effects identified in technical studies.  </w:t>
            </w:r>
            <w:r w:rsidR="00BB7FAA" w:rsidRPr="0014771B">
              <w:rPr>
                <w:rFonts w:ascii="Arial" w:hAnsi="Arial" w:cs="Arial"/>
                <w:color w:val="000000" w:themeColor="text1"/>
              </w:rPr>
              <w:t xml:space="preserve">(See Table </w:t>
            </w:r>
            <w:r w:rsidR="00396702" w:rsidRPr="0014771B">
              <w:rPr>
                <w:rFonts w:ascii="Arial" w:hAnsi="Arial" w:cs="Arial"/>
                <w:color w:val="000000" w:themeColor="text1"/>
              </w:rPr>
              <w:t>6.1</w:t>
            </w:r>
            <w:r w:rsidR="00735F2E" w:rsidRPr="0014771B">
              <w:rPr>
                <w:rFonts w:ascii="Arial" w:hAnsi="Arial" w:cs="Arial"/>
                <w:color w:val="000000" w:themeColor="text1"/>
              </w:rPr>
              <w:t>.1</w:t>
            </w:r>
            <w:r w:rsidR="00396702" w:rsidRPr="0014771B">
              <w:rPr>
                <w:rFonts w:ascii="Arial" w:hAnsi="Arial" w:cs="Arial"/>
                <w:color w:val="000000" w:themeColor="text1"/>
              </w:rPr>
              <w:t xml:space="preserve"> </w:t>
            </w:r>
            <w:r w:rsidR="00BB7FAA" w:rsidRPr="0014771B">
              <w:rPr>
                <w:rFonts w:ascii="Arial" w:hAnsi="Arial" w:cs="Arial"/>
                <w:color w:val="000000" w:themeColor="text1"/>
              </w:rPr>
              <w:t xml:space="preserve">above </w:t>
            </w:r>
            <w:r w:rsidR="00FD12A1" w:rsidRPr="0014771B">
              <w:rPr>
                <w:rFonts w:ascii="Arial" w:hAnsi="Arial" w:cs="Arial"/>
                <w:color w:val="000000" w:themeColor="text1"/>
              </w:rPr>
              <w:t xml:space="preserve">indicating location of Mitigation Measures in </w:t>
            </w:r>
            <w:r w:rsidR="0033503E" w:rsidRPr="0014771B">
              <w:rPr>
                <w:rFonts w:ascii="Arial" w:hAnsi="Arial" w:cs="Arial"/>
                <w:color w:val="000000" w:themeColor="text1"/>
              </w:rPr>
              <w:t>each EIAR Chapter</w:t>
            </w:r>
            <w:r w:rsidR="00FD12A1" w:rsidRPr="0014771B">
              <w:rPr>
                <w:rFonts w:ascii="Arial" w:hAnsi="Arial" w:cs="Arial"/>
                <w:color w:val="000000" w:themeColor="text1"/>
              </w:rPr>
              <w:t>)</w:t>
            </w:r>
            <w:r w:rsidR="0033503E" w:rsidRPr="0014771B">
              <w:rPr>
                <w:rFonts w:ascii="Arial" w:hAnsi="Arial" w:cs="Arial"/>
                <w:color w:val="000000" w:themeColor="text1"/>
              </w:rPr>
              <w:t>.</w:t>
            </w:r>
            <w:r w:rsidR="00FD12A1" w:rsidRPr="0014771B">
              <w:rPr>
                <w:rFonts w:ascii="Arial" w:hAnsi="Arial" w:cs="Arial"/>
                <w:color w:val="000000" w:themeColor="text1"/>
              </w:rPr>
              <w:t xml:space="preserve"> </w:t>
            </w:r>
            <w:r w:rsidRPr="0014771B">
              <w:rPr>
                <w:rFonts w:ascii="Arial" w:hAnsi="Arial" w:cs="Arial"/>
                <w:color w:val="000000" w:themeColor="text1"/>
              </w:rPr>
              <w:t xml:space="preserve">These, and arrangements for monitoring, are </w:t>
            </w:r>
            <w:r w:rsidR="00851A2B" w:rsidRPr="0014771B">
              <w:rPr>
                <w:rFonts w:ascii="Arial" w:hAnsi="Arial" w:cs="Arial"/>
                <w:color w:val="000000" w:themeColor="text1"/>
              </w:rPr>
              <w:t>detailed</w:t>
            </w:r>
            <w:r w:rsidRPr="0014771B">
              <w:rPr>
                <w:rFonts w:ascii="Arial" w:hAnsi="Arial" w:cs="Arial"/>
                <w:color w:val="000000" w:themeColor="text1"/>
              </w:rPr>
              <w:t xml:space="preserve"> </w:t>
            </w:r>
            <w:proofErr w:type="gramStart"/>
            <w:r w:rsidRPr="0014771B">
              <w:rPr>
                <w:rFonts w:ascii="Arial" w:hAnsi="Arial" w:cs="Arial"/>
                <w:color w:val="000000" w:themeColor="text1"/>
              </w:rPr>
              <w:t>in</w:t>
            </w:r>
            <w:r w:rsidR="00091352" w:rsidRPr="0014771B">
              <w:rPr>
                <w:rFonts w:ascii="Arial" w:hAnsi="Arial" w:cs="Arial"/>
                <w:color w:val="000000" w:themeColor="text1"/>
              </w:rPr>
              <w:t>;</w:t>
            </w:r>
            <w:proofErr w:type="gramEnd"/>
          </w:p>
          <w:p w14:paraId="7F0B41DB" w14:textId="302A1F5D" w:rsidR="000E1D76" w:rsidRPr="0014771B" w:rsidRDefault="008832D1" w:rsidP="00C6208E">
            <w:pPr>
              <w:pStyle w:val="ListParagraph"/>
              <w:numPr>
                <w:ilvl w:val="0"/>
                <w:numId w:val="36"/>
              </w:numPr>
              <w:spacing w:after="0" w:line="240" w:lineRule="auto"/>
              <w:jc w:val="both"/>
              <w:rPr>
                <w:color w:val="000000" w:themeColor="text1"/>
                <w:sz w:val="22"/>
                <w:szCs w:val="22"/>
              </w:rPr>
            </w:pPr>
            <w:r w:rsidRPr="0014771B">
              <w:rPr>
                <w:color w:val="000000" w:themeColor="text1"/>
                <w:sz w:val="22"/>
                <w:szCs w:val="22"/>
              </w:rPr>
              <w:t>Chapter 21</w:t>
            </w:r>
            <w:r w:rsidR="00F342F9" w:rsidRPr="0014771B">
              <w:rPr>
                <w:color w:val="000000" w:themeColor="text1"/>
                <w:sz w:val="22"/>
                <w:szCs w:val="22"/>
              </w:rPr>
              <w:t xml:space="preserve"> </w:t>
            </w:r>
            <w:r w:rsidR="00366720" w:rsidRPr="0014771B">
              <w:rPr>
                <w:color w:val="000000" w:themeColor="text1"/>
                <w:sz w:val="22"/>
                <w:szCs w:val="22"/>
              </w:rPr>
              <w:t>(Summary of Mitigation)</w:t>
            </w:r>
          </w:p>
          <w:p w14:paraId="548E4D42" w14:textId="7416A5F4" w:rsidR="000E1D76" w:rsidRPr="0014771B" w:rsidRDefault="00366720" w:rsidP="00C6208E">
            <w:pPr>
              <w:pStyle w:val="ListParagraph"/>
              <w:numPr>
                <w:ilvl w:val="0"/>
                <w:numId w:val="35"/>
              </w:numPr>
              <w:spacing w:after="0" w:line="240" w:lineRule="auto"/>
              <w:jc w:val="both"/>
              <w:rPr>
                <w:color w:val="000000" w:themeColor="text1"/>
                <w:sz w:val="22"/>
                <w:szCs w:val="22"/>
              </w:rPr>
            </w:pPr>
            <w:r w:rsidRPr="0014771B">
              <w:rPr>
                <w:color w:val="000000" w:themeColor="text1"/>
                <w:sz w:val="22"/>
                <w:szCs w:val="22"/>
              </w:rPr>
              <w:t xml:space="preserve">Appendix </w:t>
            </w:r>
            <w:r w:rsidR="00BC2154" w:rsidRPr="0014771B">
              <w:rPr>
                <w:color w:val="000000" w:themeColor="text1"/>
                <w:sz w:val="22"/>
                <w:szCs w:val="22"/>
              </w:rPr>
              <w:t>5A</w:t>
            </w:r>
            <w:r w:rsidR="009A1D4E" w:rsidRPr="0014771B">
              <w:rPr>
                <w:color w:val="000000" w:themeColor="text1"/>
                <w:sz w:val="22"/>
                <w:szCs w:val="22"/>
              </w:rPr>
              <w:t>, Volume II</w:t>
            </w:r>
            <w:r w:rsidRPr="0014771B">
              <w:rPr>
                <w:color w:val="000000" w:themeColor="text1"/>
                <w:sz w:val="22"/>
                <w:szCs w:val="22"/>
              </w:rPr>
              <w:t xml:space="preserve"> (CEMP) </w:t>
            </w:r>
          </w:p>
          <w:p w14:paraId="3C15534D" w14:textId="06A73868" w:rsidR="000E1D76" w:rsidRPr="0014771B" w:rsidRDefault="00AF3469" w:rsidP="00C6208E">
            <w:pPr>
              <w:pStyle w:val="ListParagraph"/>
              <w:numPr>
                <w:ilvl w:val="0"/>
                <w:numId w:val="35"/>
              </w:numPr>
              <w:spacing w:after="0" w:line="240" w:lineRule="auto"/>
              <w:jc w:val="both"/>
              <w:rPr>
                <w:color w:val="000000" w:themeColor="text1"/>
                <w:sz w:val="22"/>
                <w:szCs w:val="22"/>
              </w:rPr>
            </w:pPr>
            <w:r w:rsidRPr="0014771B">
              <w:rPr>
                <w:color w:val="000000" w:themeColor="text1"/>
                <w:sz w:val="22"/>
                <w:szCs w:val="22"/>
              </w:rPr>
              <w:t>Appendix 9B (</w:t>
            </w:r>
            <w:r w:rsidR="004C66BF" w:rsidRPr="0014771B">
              <w:rPr>
                <w:color w:val="000000" w:themeColor="text1"/>
                <w:sz w:val="22"/>
                <w:szCs w:val="22"/>
              </w:rPr>
              <w:t>The Natura Impact Statement</w:t>
            </w:r>
            <w:r w:rsidRPr="0014771B">
              <w:rPr>
                <w:color w:val="000000" w:themeColor="text1"/>
                <w:sz w:val="22"/>
                <w:szCs w:val="22"/>
              </w:rPr>
              <w:t>)</w:t>
            </w:r>
          </w:p>
          <w:p w14:paraId="539FE38B" w14:textId="0A9AF6FF" w:rsidR="005F7798" w:rsidRPr="0014771B" w:rsidRDefault="00AF3469" w:rsidP="00C6208E">
            <w:pPr>
              <w:pStyle w:val="ListParagraph"/>
              <w:numPr>
                <w:ilvl w:val="0"/>
                <w:numId w:val="35"/>
              </w:numPr>
              <w:spacing w:after="0" w:line="240" w:lineRule="auto"/>
              <w:jc w:val="both"/>
              <w:rPr>
                <w:color w:val="000000" w:themeColor="text1"/>
                <w:sz w:val="22"/>
                <w:szCs w:val="22"/>
              </w:rPr>
            </w:pPr>
            <w:r w:rsidRPr="0014771B">
              <w:rPr>
                <w:color w:val="000000" w:themeColor="text1"/>
                <w:sz w:val="22"/>
                <w:szCs w:val="22"/>
              </w:rPr>
              <w:t>Appendix 9E (</w:t>
            </w:r>
            <w:r w:rsidR="005F7798" w:rsidRPr="0014771B">
              <w:rPr>
                <w:color w:val="000000" w:themeColor="text1"/>
                <w:sz w:val="22"/>
                <w:szCs w:val="22"/>
              </w:rPr>
              <w:t>The Wintering Bird Report</w:t>
            </w:r>
            <w:r w:rsidRPr="0014771B">
              <w:rPr>
                <w:color w:val="000000" w:themeColor="text1"/>
                <w:sz w:val="22"/>
                <w:szCs w:val="22"/>
              </w:rPr>
              <w:t>)</w:t>
            </w:r>
          </w:p>
          <w:p w14:paraId="592FDC48" w14:textId="37D621BD" w:rsidR="00C35116" w:rsidRPr="0014771B" w:rsidRDefault="00AF3469" w:rsidP="00C6208E">
            <w:pPr>
              <w:pStyle w:val="ListParagraph"/>
              <w:numPr>
                <w:ilvl w:val="0"/>
                <w:numId w:val="35"/>
              </w:numPr>
              <w:spacing w:after="0" w:line="240" w:lineRule="auto"/>
              <w:jc w:val="both"/>
              <w:rPr>
                <w:color w:val="000000" w:themeColor="text1"/>
                <w:sz w:val="22"/>
                <w:szCs w:val="22"/>
              </w:rPr>
            </w:pPr>
            <w:r w:rsidRPr="0014771B">
              <w:rPr>
                <w:color w:val="000000" w:themeColor="text1"/>
                <w:sz w:val="22"/>
                <w:szCs w:val="22"/>
              </w:rPr>
              <w:t>Appendix 12A (</w:t>
            </w:r>
            <w:r w:rsidR="00C35116" w:rsidRPr="0014771B">
              <w:rPr>
                <w:color w:val="000000" w:themeColor="text1"/>
                <w:sz w:val="22"/>
                <w:szCs w:val="22"/>
              </w:rPr>
              <w:t>Flood Risk Assessment</w:t>
            </w:r>
            <w:r w:rsidRPr="0014771B">
              <w:rPr>
                <w:color w:val="000000" w:themeColor="text1"/>
                <w:sz w:val="22"/>
                <w:szCs w:val="22"/>
              </w:rPr>
              <w:t>)</w:t>
            </w:r>
          </w:p>
          <w:p w14:paraId="60396D44" w14:textId="03A2EA8A" w:rsidR="005B3323" w:rsidRPr="0014771B" w:rsidRDefault="005B3323" w:rsidP="00C6208E">
            <w:pPr>
              <w:pStyle w:val="ListParagraph"/>
              <w:numPr>
                <w:ilvl w:val="0"/>
                <w:numId w:val="35"/>
              </w:numPr>
              <w:spacing w:after="0" w:line="240" w:lineRule="auto"/>
              <w:jc w:val="both"/>
              <w:rPr>
                <w:color w:val="000000" w:themeColor="text1"/>
                <w:sz w:val="22"/>
                <w:szCs w:val="22"/>
              </w:rPr>
            </w:pPr>
            <w:r w:rsidRPr="0014771B">
              <w:rPr>
                <w:color w:val="000000" w:themeColor="text1"/>
                <w:sz w:val="22"/>
                <w:szCs w:val="22"/>
              </w:rPr>
              <w:t>Appendix 12C</w:t>
            </w:r>
            <w:r w:rsidR="00D06091" w:rsidRPr="0014771B">
              <w:rPr>
                <w:color w:val="000000" w:themeColor="text1"/>
                <w:sz w:val="22"/>
                <w:szCs w:val="22"/>
              </w:rPr>
              <w:t xml:space="preserve"> (Water Framework Directive Screening Assessment)</w:t>
            </w:r>
          </w:p>
          <w:p w14:paraId="19E3A791" w14:textId="79C38B34" w:rsidR="00FB0C1D" w:rsidRPr="0014771B" w:rsidRDefault="00FB0C1D" w:rsidP="00C6208E">
            <w:pPr>
              <w:pStyle w:val="ListParagraph"/>
              <w:numPr>
                <w:ilvl w:val="0"/>
                <w:numId w:val="35"/>
              </w:numPr>
              <w:spacing w:after="0" w:line="240" w:lineRule="auto"/>
              <w:jc w:val="both"/>
              <w:rPr>
                <w:color w:val="000000" w:themeColor="text1"/>
                <w:sz w:val="22"/>
                <w:szCs w:val="22"/>
              </w:rPr>
            </w:pPr>
            <w:r w:rsidRPr="0014771B">
              <w:rPr>
                <w:color w:val="000000" w:themeColor="text1"/>
                <w:sz w:val="22"/>
                <w:szCs w:val="22"/>
              </w:rPr>
              <w:t>Appendix 14B (CTMP)</w:t>
            </w:r>
          </w:p>
          <w:p w14:paraId="5C01A32B" w14:textId="6B2BDD1E" w:rsidR="00253945" w:rsidRPr="0014771B" w:rsidRDefault="00366720" w:rsidP="00A8037F">
            <w:pPr>
              <w:jc w:val="both"/>
              <w:rPr>
                <w:rFonts w:ascii="Arial" w:hAnsi="Arial" w:cs="Arial"/>
              </w:rPr>
            </w:pPr>
            <w:r w:rsidRPr="0014771B">
              <w:rPr>
                <w:rFonts w:ascii="Arial" w:hAnsi="Arial" w:cs="Arial"/>
                <w:color w:val="000000" w:themeColor="text1"/>
              </w:rPr>
              <w:t>Mitigation measures comprise standard good practices and site-specific measures and are largely capable of offsetting significant adverse effects identified in the EIAR, for the reasons stated in the assessment below.</w:t>
            </w:r>
          </w:p>
        </w:tc>
      </w:tr>
      <w:tr w:rsidR="00366720" w:rsidRPr="00453342" w14:paraId="272D9572" w14:textId="77777777" w:rsidTr="00416F9B">
        <w:tc>
          <w:tcPr>
            <w:tcW w:w="9447" w:type="dxa"/>
            <w:shd w:val="clear" w:color="auto" w:fill="BFBFBF" w:themeFill="background1" w:themeFillShade="BF"/>
          </w:tcPr>
          <w:p w14:paraId="5056A610" w14:textId="523AA36A" w:rsidR="00366720" w:rsidRPr="0014771B" w:rsidRDefault="00366720" w:rsidP="00A8037F">
            <w:pPr>
              <w:jc w:val="both"/>
              <w:rPr>
                <w:rFonts w:ascii="Arial" w:hAnsi="Arial" w:cs="Arial"/>
              </w:rPr>
            </w:pPr>
            <w:r w:rsidRPr="0014771B">
              <w:rPr>
                <w:rFonts w:ascii="Arial" w:hAnsi="Arial" w:cs="Arial"/>
              </w:rPr>
              <w:lastRenderedPageBreak/>
              <w:t xml:space="preserve">A description of the reasonable alternatives studied by the person or persons who prepared the EIAR, which are relevant to the proposed development and its specific characteristics, and an indication of the main reasons for the option chosen, </w:t>
            </w:r>
            <w:proofErr w:type="gramStart"/>
            <w:r w:rsidRPr="0014771B">
              <w:rPr>
                <w:rFonts w:ascii="Arial" w:hAnsi="Arial" w:cs="Arial"/>
              </w:rPr>
              <w:t>taking into account</w:t>
            </w:r>
            <w:proofErr w:type="gramEnd"/>
            <w:r w:rsidRPr="0014771B">
              <w:rPr>
                <w:rFonts w:ascii="Arial" w:hAnsi="Arial" w:cs="Arial"/>
              </w:rPr>
              <w:t xml:space="preserve"> the effects of the proposed development on the environment (including the additional information referred to under section 94(b).</w:t>
            </w:r>
          </w:p>
        </w:tc>
      </w:tr>
      <w:tr w:rsidR="00366720" w:rsidRPr="00453342" w14:paraId="3A36B7C7" w14:textId="77777777" w:rsidTr="00416F9B">
        <w:tc>
          <w:tcPr>
            <w:tcW w:w="9447" w:type="dxa"/>
            <w:shd w:val="clear" w:color="auto" w:fill="auto"/>
          </w:tcPr>
          <w:p w14:paraId="23DA1CAB" w14:textId="0951A385" w:rsidR="00366720" w:rsidRPr="0014771B" w:rsidRDefault="00366720" w:rsidP="00A8037F">
            <w:pPr>
              <w:jc w:val="both"/>
              <w:rPr>
                <w:rFonts w:ascii="Arial" w:hAnsi="Arial" w:cs="Arial"/>
                <w:color w:val="000000" w:themeColor="text1"/>
              </w:rPr>
            </w:pPr>
            <w:r w:rsidRPr="0014771B">
              <w:rPr>
                <w:rFonts w:ascii="Arial" w:hAnsi="Arial" w:cs="Arial"/>
                <w:color w:val="000000" w:themeColor="text1"/>
              </w:rPr>
              <w:t>A description of the alternatives considered is contained in Chapter 3 of the EIAR</w:t>
            </w:r>
            <w:r w:rsidR="004E093E" w:rsidRPr="0014771B">
              <w:rPr>
                <w:rFonts w:ascii="Arial" w:hAnsi="Arial" w:cs="Arial"/>
                <w:color w:val="000000" w:themeColor="text1"/>
              </w:rPr>
              <w:t xml:space="preserve"> (Need and Alternatives)</w:t>
            </w:r>
            <w:r w:rsidRPr="0014771B">
              <w:rPr>
                <w:rFonts w:ascii="Arial" w:hAnsi="Arial" w:cs="Arial"/>
                <w:color w:val="000000" w:themeColor="text1"/>
              </w:rPr>
              <w:t xml:space="preserve">. The alternatives considered include, </w:t>
            </w:r>
            <w:r w:rsidR="004E209F" w:rsidRPr="0014771B">
              <w:rPr>
                <w:rFonts w:ascii="Arial" w:hAnsi="Arial" w:cs="Arial"/>
                <w:color w:val="000000" w:themeColor="text1"/>
              </w:rPr>
              <w:t>‘D</w:t>
            </w:r>
            <w:r w:rsidRPr="0014771B">
              <w:rPr>
                <w:rFonts w:ascii="Arial" w:hAnsi="Arial" w:cs="Arial"/>
                <w:color w:val="000000" w:themeColor="text1"/>
              </w:rPr>
              <w:t xml:space="preserve">o </w:t>
            </w:r>
            <w:r w:rsidR="004E209F" w:rsidRPr="0014771B">
              <w:rPr>
                <w:rFonts w:ascii="Arial" w:hAnsi="Arial" w:cs="Arial"/>
                <w:color w:val="000000" w:themeColor="text1"/>
              </w:rPr>
              <w:t>N</w:t>
            </w:r>
            <w:r w:rsidRPr="0014771B">
              <w:rPr>
                <w:rFonts w:ascii="Arial" w:hAnsi="Arial" w:cs="Arial"/>
                <w:color w:val="000000" w:themeColor="text1"/>
              </w:rPr>
              <w:t>othing’</w:t>
            </w:r>
            <w:r w:rsidR="004E209F" w:rsidRPr="0014771B">
              <w:rPr>
                <w:rFonts w:ascii="Arial" w:hAnsi="Arial" w:cs="Arial"/>
                <w:color w:val="000000" w:themeColor="text1"/>
              </w:rPr>
              <w:t xml:space="preserve"> Scenario</w:t>
            </w:r>
            <w:r w:rsidRPr="0014771B">
              <w:rPr>
                <w:rFonts w:ascii="Arial" w:hAnsi="Arial" w:cs="Arial"/>
                <w:color w:val="000000" w:themeColor="text1"/>
              </w:rPr>
              <w:t>,</w:t>
            </w:r>
            <w:r w:rsidR="00AC6060" w:rsidRPr="0014771B">
              <w:rPr>
                <w:rFonts w:ascii="Arial" w:hAnsi="Arial" w:cs="Arial"/>
                <w:color w:val="000000" w:themeColor="text1"/>
              </w:rPr>
              <w:t xml:space="preserve"> Alternative Locations, Alternative Technical Solutions, Alternative Layouts and Designs</w:t>
            </w:r>
            <w:r w:rsidRPr="0014771B">
              <w:rPr>
                <w:rFonts w:ascii="Arial" w:hAnsi="Arial" w:cs="Arial"/>
                <w:color w:val="000000" w:themeColor="text1"/>
              </w:rPr>
              <w:t xml:space="preserve"> and </w:t>
            </w:r>
            <w:r w:rsidR="004E209F" w:rsidRPr="0014771B">
              <w:rPr>
                <w:rFonts w:ascii="Arial" w:hAnsi="Arial" w:cs="Arial"/>
                <w:color w:val="000000" w:themeColor="text1"/>
              </w:rPr>
              <w:t>A</w:t>
            </w:r>
            <w:r w:rsidRPr="0014771B">
              <w:rPr>
                <w:rFonts w:ascii="Arial" w:hAnsi="Arial" w:cs="Arial"/>
                <w:color w:val="000000" w:themeColor="text1"/>
              </w:rPr>
              <w:t xml:space="preserve">lternative </w:t>
            </w:r>
            <w:r w:rsidR="004E209F" w:rsidRPr="0014771B">
              <w:rPr>
                <w:rFonts w:ascii="Arial" w:hAnsi="Arial" w:cs="Arial"/>
                <w:color w:val="000000" w:themeColor="text1"/>
              </w:rPr>
              <w:t>M</w:t>
            </w:r>
            <w:r w:rsidRPr="0014771B">
              <w:rPr>
                <w:rFonts w:ascii="Arial" w:hAnsi="Arial" w:cs="Arial"/>
                <w:color w:val="000000" w:themeColor="text1"/>
              </w:rPr>
              <w:t xml:space="preserve">itigation </w:t>
            </w:r>
            <w:r w:rsidR="004E209F" w:rsidRPr="0014771B">
              <w:rPr>
                <w:rFonts w:ascii="Arial" w:hAnsi="Arial" w:cs="Arial"/>
                <w:color w:val="000000" w:themeColor="text1"/>
              </w:rPr>
              <w:t>M</w:t>
            </w:r>
            <w:r w:rsidRPr="0014771B">
              <w:rPr>
                <w:rFonts w:ascii="Arial" w:hAnsi="Arial" w:cs="Arial"/>
                <w:color w:val="000000" w:themeColor="text1"/>
              </w:rPr>
              <w:t>easures.</w:t>
            </w:r>
          </w:p>
          <w:p w14:paraId="79DC2F85" w14:textId="77777777" w:rsidR="004E209F" w:rsidRPr="0014771B" w:rsidRDefault="004E209F" w:rsidP="00A8037F">
            <w:pPr>
              <w:jc w:val="both"/>
              <w:rPr>
                <w:rFonts w:ascii="Arial" w:hAnsi="Arial" w:cs="Arial"/>
                <w:i/>
                <w:iCs/>
                <w:color w:val="000000" w:themeColor="text1"/>
              </w:rPr>
            </w:pPr>
          </w:p>
          <w:p w14:paraId="60AF736A" w14:textId="396B6B37" w:rsidR="00ED55D6" w:rsidRPr="0014771B" w:rsidRDefault="00366720" w:rsidP="00A8037F">
            <w:pPr>
              <w:jc w:val="both"/>
              <w:rPr>
                <w:rFonts w:ascii="Arial" w:hAnsi="Arial" w:cs="Arial"/>
                <w:color w:val="000000" w:themeColor="text1"/>
              </w:rPr>
            </w:pPr>
            <w:r w:rsidRPr="0014771B">
              <w:rPr>
                <w:rFonts w:ascii="Arial" w:hAnsi="Arial" w:cs="Arial"/>
                <w:color w:val="000000" w:themeColor="text1"/>
              </w:rPr>
              <w:t xml:space="preserve">The main reasons for opting for the current proposal were based </w:t>
            </w:r>
            <w:r w:rsidR="002C39CF" w:rsidRPr="0014771B">
              <w:rPr>
                <w:rFonts w:ascii="Arial" w:hAnsi="Arial" w:cs="Arial"/>
                <w:color w:val="000000" w:themeColor="text1"/>
              </w:rPr>
              <w:t xml:space="preserve">on the availability of land within the existing SSE Tarbert </w:t>
            </w:r>
            <w:r w:rsidR="009F68B5" w:rsidRPr="0014771B">
              <w:rPr>
                <w:rFonts w:ascii="Arial" w:hAnsi="Arial" w:cs="Arial"/>
                <w:color w:val="000000" w:themeColor="text1"/>
              </w:rPr>
              <w:t>site</w:t>
            </w:r>
            <w:r w:rsidR="009E6AA7" w:rsidRPr="0014771B">
              <w:rPr>
                <w:rFonts w:ascii="Arial" w:hAnsi="Arial" w:cs="Arial"/>
                <w:color w:val="000000" w:themeColor="text1"/>
              </w:rPr>
              <w:t xml:space="preserve"> and that</w:t>
            </w:r>
            <w:r w:rsidR="00564829" w:rsidRPr="0014771B">
              <w:rPr>
                <w:rFonts w:ascii="Arial" w:hAnsi="Arial" w:cs="Arial"/>
                <w:color w:val="000000" w:themeColor="text1"/>
              </w:rPr>
              <w:t xml:space="preserve"> </w:t>
            </w:r>
            <w:r w:rsidR="009E6AA7" w:rsidRPr="0014771B">
              <w:rPr>
                <w:rFonts w:ascii="Arial" w:hAnsi="Arial" w:cs="Arial"/>
                <w:color w:val="000000" w:themeColor="text1"/>
              </w:rPr>
              <w:t>compared to a conventional baseload power plant, a</w:t>
            </w:r>
            <w:r w:rsidR="00564829" w:rsidRPr="0014771B">
              <w:rPr>
                <w:rFonts w:ascii="Arial" w:hAnsi="Arial" w:cs="Arial"/>
                <w:color w:val="000000" w:themeColor="text1"/>
              </w:rPr>
              <w:t>n</w:t>
            </w:r>
            <w:r w:rsidR="000F031B" w:rsidRPr="0014771B">
              <w:rPr>
                <w:rFonts w:ascii="Arial" w:hAnsi="Arial" w:cs="Arial"/>
                <w:color w:val="000000" w:themeColor="text1"/>
              </w:rPr>
              <w:t xml:space="preserve"> OCGT</w:t>
            </w:r>
            <w:r w:rsidR="00D312AC" w:rsidRPr="0014771B">
              <w:rPr>
                <w:rFonts w:ascii="Arial" w:hAnsi="Arial" w:cs="Arial"/>
                <w:color w:val="000000" w:themeColor="text1"/>
              </w:rPr>
              <w:t xml:space="preserve"> is</w:t>
            </w:r>
            <w:r w:rsidR="00D16782" w:rsidRPr="0014771B">
              <w:rPr>
                <w:rFonts w:ascii="Arial" w:hAnsi="Arial" w:cs="Arial"/>
                <w:color w:val="000000" w:themeColor="text1"/>
              </w:rPr>
              <w:t xml:space="preserve"> considered the most appropriate technology due to its </w:t>
            </w:r>
            <w:r w:rsidR="000E32CE" w:rsidRPr="0014771B">
              <w:rPr>
                <w:rFonts w:ascii="Arial" w:hAnsi="Arial" w:cs="Arial"/>
                <w:color w:val="000000" w:themeColor="text1"/>
              </w:rPr>
              <w:t>low footprint in relation to available area on site</w:t>
            </w:r>
            <w:r w:rsidR="00FC3EAD" w:rsidRPr="0014771B">
              <w:rPr>
                <w:rFonts w:ascii="Arial" w:hAnsi="Arial" w:cs="Arial"/>
                <w:color w:val="000000" w:themeColor="text1"/>
              </w:rPr>
              <w:t>, short construction time and ability to respond quickly to changes in electricity demand</w:t>
            </w:r>
            <w:r w:rsidR="00BB2DA9" w:rsidRPr="0014771B">
              <w:rPr>
                <w:rFonts w:ascii="Arial" w:hAnsi="Arial" w:cs="Arial"/>
                <w:color w:val="000000" w:themeColor="text1"/>
              </w:rPr>
              <w:t xml:space="preserve">.  </w:t>
            </w:r>
            <w:r w:rsidRPr="0014771B">
              <w:rPr>
                <w:rFonts w:ascii="Arial" w:hAnsi="Arial" w:cs="Arial"/>
                <w:color w:val="000000" w:themeColor="text1"/>
              </w:rPr>
              <w:t xml:space="preserve"> </w:t>
            </w:r>
            <w:r w:rsidR="00C84CF7" w:rsidRPr="0014771B">
              <w:rPr>
                <w:rFonts w:ascii="Arial" w:hAnsi="Arial" w:cs="Arial"/>
                <w:color w:val="000000" w:themeColor="text1"/>
              </w:rPr>
              <w:t xml:space="preserve">The </w:t>
            </w:r>
            <w:r w:rsidR="00B363F3" w:rsidRPr="0014771B">
              <w:rPr>
                <w:rFonts w:ascii="Arial" w:hAnsi="Arial" w:cs="Arial"/>
                <w:color w:val="000000" w:themeColor="text1"/>
              </w:rPr>
              <w:t xml:space="preserve">supplied </w:t>
            </w:r>
            <w:r w:rsidR="00C84CF7" w:rsidRPr="0014771B">
              <w:rPr>
                <w:rFonts w:ascii="Arial" w:hAnsi="Arial" w:cs="Arial"/>
                <w:color w:val="000000" w:themeColor="text1"/>
              </w:rPr>
              <w:t xml:space="preserve">HVO will </w:t>
            </w:r>
            <w:r w:rsidR="00B363F3" w:rsidRPr="0014771B">
              <w:rPr>
                <w:rFonts w:ascii="Arial" w:hAnsi="Arial" w:cs="Arial"/>
                <w:color w:val="000000" w:themeColor="text1"/>
              </w:rPr>
              <w:t>comply with the RED</w:t>
            </w:r>
            <w:r w:rsidR="00E3259E" w:rsidRPr="0014771B">
              <w:rPr>
                <w:rFonts w:ascii="Arial" w:hAnsi="Arial" w:cs="Arial"/>
                <w:color w:val="000000" w:themeColor="text1"/>
              </w:rPr>
              <w:t xml:space="preserve"> II</w:t>
            </w:r>
            <w:r w:rsidR="00B363F3" w:rsidRPr="0014771B">
              <w:rPr>
                <w:rFonts w:ascii="Arial" w:hAnsi="Arial" w:cs="Arial"/>
                <w:color w:val="000000" w:themeColor="text1"/>
              </w:rPr>
              <w:t xml:space="preserve"> (Directive (EU) 2018/2201)</w:t>
            </w:r>
          </w:p>
          <w:p w14:paraId="7014C450" w14:textId="77777777" w:rsidR="002C39CF" w:rsidRPr="0014771B" w:rsidRDefault="002C39CF" w:rsidP="00A8037F">
            <w:pPr>
              <w:jc w:val="both"/>
              <w:rPr>
                <w:rFonts w:ascii="Arial" w:hAnsi="Arial" w:cs="Arial"/>
                <w:color w:val="000000" w:themeColor="text1"/>
              </w:rPr>
            </w:pPr>
          </w:p>
          <w:p w14:paraId="018A85AC" w14:textId="3FE9314A" w:rsidR="00366720" w:rsidRPr="0014771B" w:rsidRDefault="00366720" w:rsidP="00A8037F">
            <w:pPr>
              <w:jc w:val="both"/>
              <w:rPr>
                <w:rFonts w:ascii="Arial" w:hAnsi="Arial" w:cs="Arial"/>
                <w:i/>
                <w:iCs/>
                <w:color w:val="000000" w:themeColor="text1"/>
              </w:rPr>
            </w:pPr>
            <w:r w:rsidRPr="0014771B">
              <w:rPr>
                <w:rFonts w:ascii="Arial" w:hAnsi="Arial" w:cs="Arial"/>
                <w:color w:val="000000" w:themeColor="text1"/>
              </w:rPr>
              <w:t xml:space="preserve">I am satisfied, therefore, that the applicant has studied reasonable alternatives in assessing the proposed development and has outlined the main reasons for opting for the current proposal before the Board and in doing so the applicant has </w:t>
            </w:r>
            <w:proofErr w:type="gramStart"/>
            <w:r w:rsidRPr="0014771B">
              <w:rPr>
                <w:rFonts w:ascii="Arial" w:hAnsi="Arial" w:cs="Arial"/>
                <w:color w:val="000000" w:themeColor="text1"/>
              </w:rPr>
              <w:t>taken into account</w:t>
            </w:r>
            <w:proofErr w:type="gramEnd"/>
            <w:r w:rsidRPr="0014771B">
              <w:rPr>
                <w:rFonts w:ascii="Arial" w:hAnsi="Arial" w:cs="Arial"/>
                <w:color w:val="000000" w:themeColor="text1"/>
              </w:rPr>
              <w:t xml:space="preserve"> the potential impacts on the environment.</w:t>
            </w:r>
          </w:p>
        </w:tc>
      </w:tr>
      <w:tr w:rsidR="00253945" w:rsidRPr="00453342" w14:paraId="73D1AD79" w14:textId="77777777" w:rsidTr="00416F9B">
        <w:tc>
          <w:tcPr>
            <w:tcW w:w="9447" w:type="dxa"/>
            <w:shd w:val="clear" w:color="auto" w:fill="BFBFBF" w:themeFill="background1" w:themeFillShade="BF"/>
          </w:tcPr>
          <w:p w14:paraId="60353225" w14:textId="77777777" w:rsidR="00253945" w:rsidRPr="0014771B" w:rsidRDefault="00253945" w:rsidP="00A8037F">
            <w:pPr>
              <w:jc w:val="both"/>
              <w:rPr>
                <w:rFonts w:ascii="Arial" w:hAnsi="Arial" w:cs="Arial"/>
              </w:rPr>
            </w:pPr>
            <w:r w:rsidRPr="0014771B">
              <w:rPr>
                <w:rFonts w:ascii="Arial" w:hAnsi="Arial" w:cs="Arial"/>
              </w:rPr>
              <w:t>Article 94(b) Additional information, relevant to the specific characteristics of the development and to the environmental features likely to be affected (Schedule 6, Paragraph 2).</w:t>
            </w:r>
          </w:p>
        </w:tc>
      </w:tr>
      <w:tr w:rsidR="00055E1D" w:rsidRPr="00453342" w14:paraId="7AB26997" w14:textId="77777777" w:rsidTr="001D02BF">
        <w:tc>
          <w:tcPr>
            <w:tcW w:w="9447" w:type="dxa"/>
            <w:shd w:val="clear" w:color="auto" w:fill="BFBFBF" w:themeFill="background1" w:themeFillShade="BF"/>
          </w:tcPr>
          <w:p w14:paraId="63B6E66A" w14:textId="4C3D0D38" w:rsidR="00055E1D" w:rsidRPr="0014771B" w:rsidRDefault="00055E1D" w:rsidP="00A8037F">
            <w:pPr>
              <w:jc w:val="both"/>
              <w:rPr>
                <w:rFonts w:ascii="Arial" w:hAnsi="Arial" w:cs="Arial"/>
              </w:rPr>
            </w:pPr>
            <w:r w:rsidRPr="0014771B">
              <w:rPr>
                <w:rFonts w:ascii="Arial" w:hAnsi="Arial" w:cs="Arial"/>
              </w:rPr>
              <w:t>A description of the baseline environment and likely evolution in the absence of the development.</w:t>
            </w:r>
          </w:p>
        </w:tc>
      </w:tr>
      <w:tr w:rsidR="00055E1D" w:rsidRPr="00453342" w14:paraId="3B24B9CC" w14:textId="77777777" w:rsidTr="00416F9B">
        <w:tc>
          <w:tcPr>
            <w:tcW w:w="9447" w:type="dxa"/>
            <w:shd w:val="clear" w:color="auto" w:fill="auto"/>
          </w:tcPr>
          <w:p w14:paraId="439D70E9" w14:textId="037B2489" w:rsidR="00055E1D" w:rsidRPr="0014771B" w:rsidRDefault="001B6634" w:rsidP="00A8037F">
            <w:pPr>
              <w:jc w:val="both"/>
              <w:rPr>
                <w:rFonts w:ascii="Arial" w:hAnsi="Arial" w:cs="Arial"/>
              </w:rPr>
            </w:pPr>
            <w:r w:rsidRPr="0014771B">
              <w:rPr>
                <w:rFonts w:ascii="Arial" w:hAnsi="Arial" w:cs="Arial"/>
              </w:rPr>
              <w:t>A</w:t>
            </w:r>
            <w:r w:rsidR="007D096C" w:rsidRPr="0014771B">
              <w:rPr>
                <w:rFonts w:ascii="Arial" w:hAnsi="Arial" w:cs="Arial"/>
              </w:rPr>
              <w:t xml:space="preserve"> </w:t>
            </w:r>
            <w:r w:rsidR="00C73FE8" w:rsidRPr="0014771B">
              <w:rPr>
                <w:rFonts w:ascii="Arial" w:hAnsi="Arial" w:cs="Arial"/>
              </w:rPr>
              <w:t>description of the location</w:t>
            </w:r>
            <w:r w:rsidR="006C67FF" w:rsidRPr="0014771B">
              <w:rPr>
                <w:rFonts w:ascii="Arial" w:hAnsi="Arial" w:cs="Arial"/>
              </w:rPr>
              <w:t xml:space="preserve"> is contained within Chapter 4.</w:t>
            </w:r>
          </w:p>
          <w:p w14:paraId="7614FCC0" w14:textId="403A0F18" w:rsidR="00104C5B" w:rsidRPr="0014771B" w:rsidRDefault="0023606F" w:rsidP="00A8037F">
            <w:pPr>
              <w:jc w:val="both"/>
              <w:rPr>
                <w:rFonts w:ascii="Arial" w:hAnsi="Arial" w:cs="Arial"/>
              </w:rPr>
            </w:pPr>
            <w:r w:rsidRPr="0014771B">
              <w:rPr>
                <w:rFonts w:ascii="Arial" w:hAnsi="Arial" w:cs="Arial"/>
              </w:rPr>
              <w:t xml:space="preserve">A description of the baseline environment is </w:t>
            </w:r>
            <w:r w:rsidR="00B412A5" w:rsidRPr="0014771B">
              <w:rPr>
                <w:rFonts w:ascii="Arial" w:hAnsi="Arial" w:cs="Arial"/>
              </w:rPr>
              <w:t>contained in</w:t>
            </w:r>
            <w:r w:rsidR="00BF3D6A" w:rsidRPr="0014771B">
              <w:rPr>
                <w:rFonts w:ascii="Arial" w:hAnsi="Arial" w:cs="Arial"/>
              </w:rPr>
              <w:t xml:space="preserve"> each technical chapter of the EIAR as follows;</w:t>
            </w:r>
            <w:r w:rsidR="00B412A5" w:rsidRPr="0014771B">
              <w:rPr>
                <w:rFonts w:ascii="Arial" w:hAnsi="Arial" w:cs="Arial"/>
              </w:rPr>
              <w:t xml:space="preserve"> </w:t>
            </w:r>
            <w:r w:rsidR="00A42A8A" w:rsidRPr="0014771B">
              <w:rPr>
                <w:rFonts w:ascii="Arial" w:hAnsi="Arial" w:cs="Arial"/>
              </w:rPr>
              <w:t>Sections 7.4</w:t>
            </w:r>
            <w:r w:rsidR="00E32BC3" w:rsidRPr="0014771B">
              <w:rPr>
                <w:rFonts w:ascii="Arial" w:hAnsi="Arial" w:cs="Arial"/>
              </w:rPr>
              <w:t xml:space="preserve"> (Air Quality)</w:t>
            </w:r>
            <w:r w:rsidR="00A42A8A" w:rsidRPr="0014771B">
              <w:rPr>
                <w:rFonts w:ascii="Arial" w:hAnsi="Arial" w:cs="Arial"/>
              </w:rPr>
              <w:t xml:space="preserve">, </w:t>
            </w:r>
            <w:r w:rsidR="004649B1" w:rsidRPr="0014771B">
              <w:rPr>
                <w:rFonts w:ascii="Arial" w:hAnsi="Arial" w:cs="Arial"/>
              </w:rPr>
              <w:t>8.</w:t>
            </w:r>
            <w:r w:rsidR="002F26F2" w:rsidRPr="0014771B">
              <w:rPr>
                <w:rFonts w:ascii="Arial" w:hAnsi="Arial" w:cs="Arial"/>
              </w:rPr>
              <w:t>4</w:t>
            </w:r>
            <w:r w:rsidR="00E32BC3" w:rsidRPr="0014771B">
              <w:rPr>
                <w:rFonts w:ascii="Arial" w:hAnsi="Arial" w:cs="Arial"/>
              </w:rPr>
              <w:t xml:space="preserve"> (Cultural Heritage), </w:t>
            </w:r>
            <w:r w:rsidR="000920F7" w:rsidRPr="0014771B">
              <w:rPr>
                <w:rFonts w:ascii="Arial" w:hAnsi="Arial" w:cs="Arial"/>
              </w:rPr>
              <w:t xml:space="preserve">9.4 </w:t>
            </w:r>
            <w:r w:rsidR="00A64542" w:rsidRPr="0014771B">
              <w:rPr>
                <w:rFonts w:ascii="Arial" w:hAnsi="Arial" w:cs="Arial"/>
              </w:rPr>
              <w:t xml:space="preserve">(Biodiversity), </w:t>
            </w:r>
            <w:r w:rsidR="006A135B" w:rsidRPr="0014771B">
              <w:rPr>
                <w:rFonts w:ascii="Arial" w:hAnsi="Arial" w:cs="Arial"/>
              </w:rPr>
              <w:t>10.4 (</w:t>
            </w:r>
            <w:r w:rsidR="00102124" w:rsidRPr="0014771B">
              <w:rPr>
                <w:rFonts w:ascii="Arial" w:hAnsi="Arial" w:cs="Arial"/>
              </w:rPr>
              <w:t>Landscape and Visual), 11.4 (Noise &amp; Vibration)</w:t>
            </w:r>
            <w:r w:rsidR="008239E3" w:rsidRPr="0014771B">
              <w:rPr>
                <w:rFonts w:ascii="Arial" w:hAnsi="Arial" w:cs="Arial"/>
              </w:rPr>
              <w:t xml:space="preserve">, 12.4 </w:t>
            </w:r>
            <w:r w:rsidR="00C51862" w:rsidRPr="0014771B">
              <w:rPr>
                <w:rFonts w:ascii="Arial" w:hAnsi="Arial" w:cs="Arial"/>
              </w:rPr>
              <w:t xml:space="preserve">(Water), </w:t>
            </w:r>
            <w:r w:rsidR="007043B5" w:rsidRPr="0014771B">
              <w:rPr>
                <w:rFonts w:ascii="Arial" w:hAnsi="Arial" w:cs="Arial"/>
              </w:rPr>
              <w:t xml:space="preserve">13.4 </w:t>
            </w:r>
            <w:r w:rsidR="00C43FA8" w:rsidRPr="0014771B">
              <w:rPr>
                <w:rFonts w:ascii="Arial" w:hAnsi="Arial" w:cs="Arial"/>
              </w:rPr>
              <w:t xml:space="preserve">(Lands and Soil), </w:t>
            </w:r>
            <w:r w:rsidR="00EF7B0A" w:rsidRPr="0014771B">
              <w:rPr>
                <w:rFonts w:ascii="Arial" w:hAnsi="Arial" w:cs="Arial"/>
              </w:rPr>
              <w:t xml:space="preserve">14.4 (Traffic), </w:t>
            </w:r>
            <w:r w:rsidR="00E136B1" w:rsidRPr="0014771B">
              <w:rPr>
                <w:rFonts w:ascii="Arial" w:hAnsi="Arial" w:cs="Arial"/>
              </w:rPr>
              <w:t xml:space="preserve">15.4 (Population and Human Health), </w:t>
            </w:r>
            <w:r w:rsidR="00C46C39" w:rsidRPr="0014771B">
              <w:rPr>
                <w:rFonts w:ascii="Arial" w:hAnsi="Arial" w:cs="Arial"/>
              </w:rPr>
              <w:t>16.4 (</w:t>
            </w:r>
            <w:r w:rsidR="0081414E" w:rsidRPr="0014771B">
              <w:rPr>
                <w:rFonts w:ascii="Arial" w:hAnsi="Arial" w:cs="Arial"/>
              </w:rPr>
              <w:t>Material Assets), 17.4 (Climate)</w:t>
            </w:r>
            <w:r w:rsidR="0046471D" w:rsidRPr="0014771B">
              <w:rPr>
                <w:rFonts w:ascii="Arial" w:hAnsi="Arial" w:cs="Arial"/>
              </w:rPr>
              <w:t xml:space="preserve">, </w:t>
            </w:r>
            <w:r w:rsidR="008B7BB3" w:rsidRPr="0014771B">
              <w:rPr>
                <w:rFonts w:ascii="Arial" w:hAnsi="Arial" w:cs="Arial"/>
              </w:rPr>
              <w:t>18.4 (</w:t>
            </w:r>
            <w:r w:rsidR="002E3402" w:rsidRPr="0014771B">
              <w:rPr>
                <w:rFonts w:ascii="Arial" w:hAnsi="Arial" w:cs="Arial"/>
              </w:rPr>
              <w:t xml:space="preserve">Waste Mgmt.), </w:t>
            </w:r>
            <w:r w:rsidR="00D4048E" w:rsidRPr="0014771B">
              <w:rPr>
                <w:rFonts w:ascii="Arial" w:hAnsi="Arial" w:cs="Arial"/>
              </w:rPr>
              <w:t>19.5</w:t>
            </w:r>
            <w:r w:rsidR="00F8223C" w:rsidRPr="0014771B">
              <w:rPr>
                <w:rFonts w:ascii="Arial" w:hAnsi="Arial" w:cs="Arial"/>
              </w:rPr>
              <w:t xml:space="preserve"> (</w:t>
            </w:r>
            <w:r w:rsidR="002E3402" w:rsidRPr="0014771B">
              <w:rPr>
                <w:rFonts w:ascii="Arial" w:hAnsi="Arial" w:cs="Arial"/>
              </w:rPr>
              <w:t>Major Accidents and Disasters</w:t>
            </w:r>
            <w:r w:rsidR="00F8223C" w:rsidRPr="0014771B">
              <w:rPr>
                <w:rFonts w:ascii="Arial" w:hAnsi="Arial" w:cs="Arial"/>
              </w:rPr>
              <w:t>)</w:t>
            </w:r>
            <w:r w:rsidR="003A51BF" w:rsidRPr="0014771B">
              <w:rPr>
                <w:rFonts w:ascii="Arial" w:hAnsi="Arial" w:cs="Arial"/>
              </w:rPr>
              <w:t>.</w:t>
            </w:r>
          </w:p>
          <w:p w14:paraId="7F354F00" w14:textId="4CAC0B2F" w:rsidR="00104C5B" w:rsidRPr="0014771B" w:rsidRDefault="00104C5B" w:rsidP="00A8037F">
            <w:pPr>
              <w:jc w:val="both"/>
              <w:rPr>
                <w:rFonts w:ascii="Arial" w:hAnsi="Arial" w:cs="Arial"/>
              </w:rPr>
            </w:pPr>
          </w:p>
        </w:tc>
      </w:tr>
      <w:tr w:rsidR="00B414AC" w:rsidRPr="00453342" w14:paraId="76617196" w14:textId="77777777" w:rsidTr="001D02BF">
        <w:tc>
          <w:tcPr>
            <w:tcW w:w="9447" w:type="dxa"/>
            <w:shd w:val="clear" w:color="auto" w:fill="BFBFBF" w:themeFill="background1" w:themeFillShade="BF"/>
          </w:tcPr>
          <w:p w14:paraId="11B20B1F" w14:textId="6D138F50" w:rsidR="00B414AC" w:rsidRPr="0014771B" w:rsidRDefault="00B414AC" w:rsidP="00A8037F">
            <w:pPr>
              <w:jc w:val="both"/>
              <w:rPr>
                <w:rFonts w:ascii="Arial" w:hAnsi="Arial" w:cs="Arial"/>
              </w:rPr>
            </w:pPr>
            <w:r w:rsidRPr="0014771B">
              <w:rPr>
                <w:rFonts w:ascii="Arial" w:hAnsi="Arial" w:cs="Arial"/>
              </w:rPr>
              <w:t>A description of the forecasting methods or evidence used to identify and assess the significant effects on the environment, including details of difficulties (for example technical deficiencies or lack of knowledge) encountered compiling the required information, and the main uncertainties involved</w:t>
            </w:r>
          </w:p>
        </w:tc>
      </w:tr>
      <w:tr w:rsidR="00B414AC" w:rsidRPr="00453342" w14:paraId="73132F35" w14:textId="77777777" w:rsidTr="00416F9B">
        <w:tc>
          <w:tcPr>
            <w:tcW w:w="9447" w:type="dxa"/>
            <w:shd w:val="clear" w:color="auto" w:fill="auto"/>
          </w:tcPr>
          <w:p w14:paraId="218F216F" w14:textId="5B0B36B4" w:rsidR="00587F0E" w:rsidRPr="00B46327" w:rsidRDefault="00587F0E" w:rsidP="00587F0E">
            <w:pPr>
              <w:jc w:val="both"/>
              <w:rPr>
                <w:rFonts w:ascii="Arial" w:hAnsi="Arial" w:cs="Arial"/>
                <w:color w:val="000000" w:themeColor="text1"/>
              </w:rPr>
            </w:pPr>
            <w:r w:rsidRPr="00B46327">
              <w:rPr>
                <w:rFonts w:ascii="Arial" w:hAnsi="Arial" w:cs="Arial"/>
                <w:color w:val="000000" w:themeColor="text1"/>
              </w:rPr>
              <w:t>The methodology employed in carrying out the EIA, including the forecasting methods is set out, in each of the individual chapters assessing the environmental effects.</w:t>
            </w:r>
            <w:r w:rsidR="00374081" w:rsidRPr="00B46327">
              <w:rPr>
                <w:rFonts w:ascii="Arial" w:hAnsi="Arial" w:cs="Arial"/>
                <w:color w:val="000000" w:themeColor="text1"/>
              </w:rPr>
              <w:t xml:space="preserve">  </w:t>
            </w:r>
            <w:r w:rsidRPr="00B46327">
              <w:rPr>
                <w:rFonts w:ascii="Arial" w:hAnsi="Arial" w:cs="Arial"/>
                <w:color w:val="000000" w:themeColor="text1"/>
              </w:rPr>
              <w:t xml:space="preserve">The applicant has indicated in the different chapters of where difficulties have been encountered (technical or otherwise) in compiling the information to carry out EIA.  I comment on these, where necessary in the </w:t>
            </w:r>
            <w:r w:rsidR="00EA5406" w:rsidRPr="00B46327">
              <w:rPr>
                <w:rFonts w:ascii="Arial" w:hAnsi="Arial" w:cs="Arial"/>
                <w:color w:val="000000" w:themeColor="text1"/>
              </w:rPr>
              <w:t>Summary Table</w:t>
            </w:r>
            <w:r w:rsidRPr="00B46327">
              <w:rPr>
                <w:rFonts w:ascii="Arial" w:hAnsi="Arial" w:cs="Arial"/>
                <w:color w:val="000000" w:themeColor="text1"/>
              </w:rPr>
              <w:t xml:space="preserve"> below and for the reasons stated, I am satisfied that forecasting methods are adequate</w:t>
            </w:r>
            <w:r w:rsidR="001676DE" w:rsidRPr="00B46327">
              <w:rPr>
                <w:rFonts w:ascii="Arial" w:hAnsi="Arial" w:cs="Arial"/>
                <w:color w:val="000000" w:themeColor="text1"/>
              </w:rPr>
              <w:t xml:space="preserve"> as outlined in Table 6.1.2</w:t>
            </w:r>
          </w:p>
          <w:p w14:paraId="26952CE2" w14:textId="77777777" w:rsidR="00FD1225" w:rsidRPr="0014771B" w:rsidRDefault="00FD1225" w:rsidP="00A8037F">
            <w:pPr>
              <w:jc w:val="both"/>
              <w:rPr>
                <w:rFonts w:ascii="Arial" w:hAnsi="Arial" w:cs="Arial"/>
              </w:rPr>
            </w:pPr>
          </w:p>
          <w:tbl>
            <w:tblPr>
              <w:tblStyle w:val="TableGrid"/>
              <w:tblW w:w="9221" w:type="dxa"/>
              <w:tblInd w:w="113" w:type="dxa"/>
              <w:tblLook w:val="04A0" w:firstRow="1" w:lastRow="0" w:firstColumn="1" w:lastColumn="0" w:noHBand="0" w:noVBand="1"/>
            </w:tblPr>
            <w:tblGrid>
              <w:gridCol w:w="5130"/>
              <w:gridCol w:w="4091"/>
            </w:tblGrid>
            <w:tr w:rsidR="00853599" w:rsidRPr="0014771B" w14:paraId="6F348CAC" w14:textId="77777777" w:rsidTr="00853599">
              <w:tc>
                <w:tcPr>
                  <w:tcW w:w="9221" w:type="dxa"/>
                  <w:gridSpan w:val="2"/>
                </w:tcPr>
                <w:p w14:paraId="2D3ED224" w14:textId="43ECB4B5" w:rsidR="00853599" w:rsidRPr="0014771B" w:rsidRDefault="00853599" w:rsidP="00F429ED">
                  <w:pPr>
                    <w:jc w:val="both"/>
                    <w:rPr>
                      <w:rFonts w:ascii="Arial" w:hAnsi="Arial" w:cs="Arial"/>
                      <w:b/>
                      <w:bCs/>
                    </w:rPr>
                  </w:pPr>
                  <w:r w:rsidRPr="0014771B">
                    <w:rPr>
                      <w:rFonts w:ascii="Arial" w:hAnsi="Arial" w:cs="Arial"/>
                      <w:b/>
                      <w:bCs/>
                    </w:rPr>
                    <w:t>Table 6.1.2 – Summary Table of Adequacy of Forecasting Methods Used</w:t>
                  </w:r>
                </w:p>
                <w:p w14:paraId="59C4D537" w14:textId="77777777" w:rsidR="00853599" w:rsidRPr="0014771B" w:rsidRDefault="00853599" w:rsidP="00FD1225">
                  <w:pPr>
                    <w:jc w:val="both"/>
                    <w:rPr>
                      <w:rFonts w:ascii="Arial" w:hAnsi="Arial" w:cs="Arial"/>
                      <w:b/>
                      <w:bCs/>
                    </w:rPr>
                  </w:pPr>
                </w:p>
              </w:tc>
            </w:tr>
            <w:tr w:rsidR="00853599" w:rsidRPr="0014771B" w14:paraId="7654E2F0" w14:textId="77777777" w:rsidTr="00853599">
              <w:tc>
                <w:tcPr>
                  <w:tcW w:w="9221" w:type="dxa"/>
                  <w:gridSpan w:val="2"/>
                  <w:shd w:val="clear" w:color="auto" w:fill="D9D9D9" w:themeFill="background1" w:themeFillShade="D9"/>
                </w:tcPr>
                <w:p w14:paraId="0E874453" w14:textId="3FBE7F90" w:rsidR="00853599" w:rsidRPr="0014771B" w:rsidRDefault="00853599" w:rsidP="00BD5A77">
                  <w:pPr>
                    <w:jc w:val="center"/>
                    <w:rPr>
                      <w:rFonts w:ascii="Arial" w:hAnsi="Arial" w:cs="Arial"/>
                      <w:b/>
                      <w:bCs/>
                    </w:rPr>
                  </w:pPr>
                  <w:r w:rsidRPr="0014771B">
                    <w:rPr>
                      <w:rFonts w:ascii="Arial" w:hAnsi="Arial" w:cs="Arial"/>
                      <w:b/>
                      <w:bCs/>
                    </w:rPr>
                    <w:t>Chapter 7 (Air Quality)</w:t>
                  </w:r>
                </w:p>
              </w:tc>
            </w:tr>
            <w:tr w:rsidR="00853599" w:rsidRPr="0014771B" w14:paraId="2399E41F" w14:textId="77777777" w:rsidTr="00853599">
              <w:tc>
                <w:tcPr>
                  <w:tcW w:w="5130" w:type="dxa"/>
                </w:tcPr>
                <w:p w14:paraId="588C6D0C" w14:textId="384239DD" w:rsidR="00853599" w:rsidRPr="0014771B" w:rsidRDefault="00853599" w:rsidP="00245F22">
                  <w:pPr>
                    <w:jc w:val="both"/>
                    <w:rPr>
                      <w:rFonts w:ascii="Arial" w:hAnsi="Arial" w:cs="Arial"/>
                      <w:b/>
                      <w:bCs/>
                    </w:rPr>
                  </w:pPr>
                  <w:r w:rsidRPr="0014771B">
                    <w:rPr>
                      <w:rFonts w:ascii="Arial" w:hAnsi="Arial" w:cs="Arial"/>
                      <w:b/>
                      <w:bCs/>
                    </w:rPr>
                    <w:t>Description of Forecasting Method Used</w:t>
                  </w:r>
                </w:p>
              </w:tc>
              <w:tc>
                <w:tcPr>
                  <w:tcW w:w="4091" w:type="dxa"/>
                </w:tcPr>
                <w:p w14:paraId="1E404B6A" w14:textId="5FB29465" w:rsidR="00853599" w:rsidRPr="0014771B" w:rsidRDefault="00853599" w:rsidP="00245F22">
                  <w:pPr>
                    <w:jc w:val="both"/>
                    <w:rPr>
                      <w:rFonts w:ascii="Arial" w:hAnsi="Arial" w:cs="Arial"/>
                      <w:b/>
                      <w:bCs/>
                    </w:rPr>
                  </w:pPr>
                  <w:r w:rsidRPr="0014771B">
                    <w:rPr>
                      <w:rFonts w:ascii="Arial" w:hAnsi="Arial" w:cs="Arial"/>
                      <w:b/>
                      <w:bCs/>
                    </w:rPr>
                    <w:t>Adequacy/Omissions/Difficulties</w:t>
                  </w:r>
                </w:p>
              </w:tc>
            </w:tr>
            <w:tr w:rsidR="00853599" w:rsidRPr="0014771B" w14:paraId="2EACCBE7" w14:textId="77777777" w:rsidTr="00853599">
              <w:tc>
                <w:tcPr>
                  <w:tcW w:w="5130" w:type="dxa"/>
                </w:tcPr>
                <w:p w14:paraId="06E0704D" w14:textId="60DF2281" w:rsidR="00853599" w:rsidRPr="0014771B" w:rsidRDefault="00853599" w:rsidP="00245F22">
                  <w:pPr>
                    <w:jc w:val="both"/>
                    <w:rPr>
                      <w:rFonts w:ascii="Arial" w:hAnsi="Arial" w:cs="Arial"/>
                      <w:b/>
                      <w:bCs/>
                    </w:rPr>
                  </w:pPr>
                  <w:r w:rsidRPr="0014771B">
                    <w:rPr>
                      <w:rFonts w:ascii="Arial" w:hAnsi="Arial" w:cs="Arial"/>
                      <w:b/>
                      <w:bCs/>
                    </w:rPr>
                    <w:t xml:space="preserve">Description of </w:t>
                  </w:r>
                  <w:proofErr w:type="gramStart"/>
                  <w:r w:rsidRPr="0014771B">
                    <w:rPr>
                      <w:rFonts w:ascii="Arial" w:hAnsi="Arial" w:cs="Arial"/>
                      <w:b/>
                      <w:bCs/>
                    </w:rPr>
                    <w:t>Forecasting;</w:t>
                  </w:r>
                  <w:proofErr w:type="gramEnd"/>
                </w:p>
                <w:p w14:paraId="5DFAD1A1" w14:textId="07A959A3" w:rsidR="00853599" w:rsidRPr="0014771B" w:rsidRDefault="00853599" w:rsidP="00C6208E">
                  <w:pPr>
                    <w:pStyle w:val="ListParagraph"/>
                    <w:numPr>
                      <w:ilvl w:val="0"/>
                      <w:numId w:val="37"/>
                    </w:numPr>
                    <w:spacing w:after="0" w:line="240" w:lineRule="auto"/>
                    <w:jc w:val="both"/>
                    <w:rPr>
                      <w:sz w:val="22"/>
                      <w:szCs w:val="22"/>
                    </w:rPr>
                  </w:pPr>
                  <w:r w:rsidRPr="0014771B">
                    <w:rPr>
                      <w:b/>
                      <w:bCs/>
                      <w:sz w:val="22"/>
                      <w:szCs w:val="22"/>
                    </w:rPr>
                    <w:t>Control of Dust</w:t>
                  </w:r>
                  <w:r w:rsidRPr="0014771B">
                    <w:rPr>
                      <w:sz w:val="22"/>
                      <w:szCs w:val="22"/>
                    </w:rPr>
                    <w:t xml:space="preserve"> - Carried out as per Institute of Air Quality Management (IAQM) guidance. It considers the risk of potential impacts occurring with good practice measures and embedded mitigation in place and if necessary, recommends additional mitigation measures appropriate to the identified risks to receptors.</w:t>
                  </w:r>
                </w:p>
                <w:p w14:paraId="6CC530E7" w14:textId="77777777" w:rsidR="00853599" w:rsidRPr="0014771B" w:rsidRDefault="00853599" w:rsidP="00C6208E">
                  <w:pPr>
                    <w:pStyle w:val="ListParagraph"/>
                    <w:numPr>
                      <w:ilvl w:val="0"/>
                      <w:numId w:val="37"/>
                    </w:numPr>
                    <w:spacing w:after="0" w:line="240" w:lineRule="auto"/>
                    <w:jc w:val="both"/>
                    <w:rPr>
                      <w:sz w:val="22"/>
                      <w:szCs w:val="22"/>
                    </w:rPr>
                  </w:pPr>
                  <w:r w:rsidRPr="0014771B">
                    <w:rPr>
                      <w:b/>
                      <w:bCs/>
                      <w:sz w:val="22"/>
                      <w:szCs w:val="22"/>
                    </w:rPr>
                    <w:lastRenderedPageBreak/>
                    <w:t>Construction &amp; Operational Traffic Assessment</w:t>
                  </w:r>
                  <w:r w:rsidRPr="0014771B">
                    <w:rPr>
                      <w:sz w:val="22"/>
                      <w:szCs w:val="22"/>
                    </w:rPr>
                    <w:t xml:space="preserve"> – Transport Infrastructure Ireland (TII) technical guidance document PE-ENV-01106 used to screen out significant effects on air quality.</w:t>
                  </w:r>
                </w:p>
                <w:p w14:paraId="6E2B908F" w14:textId="113F7606" w:rsidR="00853599" w:rsidRPr="0014771B" w:rsidRDefault="00853599" w:rsidP="00C6208E">
                  <w:pPr>
                    <w:pStyle w:val="ListParagraph"/>
                    <w:numPr>
                      <w:ilvl w:val="0"/>
                      <w:numId w:val="37"/>
                    </w:numPr>
                    <w:spacing w:after="0" w:line="240" w:lineRule="auto"/>
                    <w:jc w:val="both"/>
                    <w:rPr>
                      <w:sz w:val="22"/>
                      <w:szCs w:val="22"/>
                    </w:rPr>
                  </w:pPr>
                  <w:r w:rsidRPr="0014771B">
                    <w:rPr>
                      <w:b/>
                      <w:bCs/>
                      <w:sz w:val="22"/>
                      <w:szCs w:val="22"/>
                    </w:rPr>
                    <w:t>Operational Phase Emissions Assessment</w:t>
                  </w:r>
                  <w:r w:rsidRPr="0014771B">
                    <w:rPr>
                      <w:sz w:val="22"/>
                      <w:szCs w:val="22"/>
                    </w:rPr>
                    <w:t xml:space="preserve"> – Assessment done using the current version of the Atmospheric Dispersion Modelling System ADMS 6 (version 6.0), published by Cambridge Environmental Research Consultants (CERC).  ADMS 6 is a software approved for use by the EPA and is tested by other entities independent of CERC. Two scenarios are modelled for the assessment.</w:t>
                  </w:r>
                </w:p>
                <w:p w14:paraId="7D3F7CF2" w14:textId="77777777" w:rsidR="00853599" w:rsidRPr="0014771B" w:rsidRDefault="00853599" w:rsidP="00245F22">
                  <w:pPr>
                    <w:jc w:val="both"/>
                    <w:rPr>
                      <w:rFonts w:ascii="Arial" w:hAnsi="Arial" w:cs="Arial"/>
                      <w:b/>
                      <w:bCs/>
                    </w:rPr>
                  </w:pPr>
                </w:p>
                <w:p w14:paraId="6948C09D" w14:textId="12F18A31" w:rsidR="00853599" w:rsidRPr="0014771B" w:rsidRDefault="00853599" w:rsidP="00245F22">
                  <w:pPr>
                    <w:jc w:val="both"/>
                    <w:rPr>
                      <w:rFonts w:ascii="Arial" w:hAnsi="Arial" w:cs="Arial"/>
                    </w:rPr>
                  </w:pPr>
                  <w:r w:rsidRPr="0014771B">
                    <w:rPr>
                      <w:rFonts w:ascii="Arial" w:hAnsi="Arial" w:cs="Arial"/>
                      <w:b/>
                      <w:bCs/>
                    </w:rPr>
                    <w:t>Describing Significant Effects</w:t>
                  </w:r>
                  <w:r w:rsidRPr="0014771B">
                    <w:rPr>
                      <w:rFonts w:ascii="Arial" w:hAnsi="Arial" w:cs="Arial"/>
                    </w:rPr>
                    <w:t xml:space="preserve"> </w:t>
                  </w:r>
                </w:p>
                <w:p w14:paraId="6CD17FE6" w14:textId="5A64D4E8" w:rsidR="00853599" w:rsidRPr="0014771B" w:rsidRDefault="00853599" w:rsidP="00245F22">
                  <w:pPr>
                    <w:jc w:val="both"/>
                    <w:rPr>
                      <w:rFonts w:ascii="Arial" w:hAnsi="Arial" w:cs="Arial"/>
                    </w:rPr>
                  </w:pPr>
                  <w:r w:rsidRPr="0014771B">
                    <w:rPr>
                      <w:rFonts w:ascii="Arial" w:hAnsi="Arial" w:cs="Arial"/>
                    </w:rPr>
                    <w:t>UK Environment Agency guidance (</w:t>
                  </w:r>
                  <w:r w:rsidRPr="0014771B">
                    <w:rPr>
                      <w:rFonts w:ascii="Arial" w:hAnsi="Arial" w:cs="Arial"/>
                      <w:i/>
                      <w:iCs/>
                    </w:rPr>
                    <w:t>UK EA (2016), Air Emissions Risk Assessment for you Environmental Permit Guidance – Updated 2022)</w:t>
                  </w:r>
                  <w:r w:rsidRPr="0014771B">
                    <w:rPr>
                      <w:rFonts w:ascii="Arial" w:hAnsi="Arial" w:cs="Arial"/>
                    </w:rPr>
                    <w:t>, and IAQM and EPUK guidance (</w:t>
                  </w:r>
                  <w:r w:rsidRPr="0014771B">
                    <w:rPr>
                      <w:rFonts w:ascii="Arial" w:hAnsi="Arial" w:cs="Arial"/>
                      <w:i/>
                      <w:iCs/>
                    </w:rPr>
                    <w:t>IAQM &amp; EPUK (2017), Land-Use Planning &amp; Development Control: Planning for Air Quality</w:t>
                  </w:r>
                  <w:r w:rsidRPr="0014771B">
                    <w:rPr>
                      <w:rFonts w:ascii="Arial" w:hAnsi="Arial" w:cs="Arial"/>
                    </w:rPr>
                    <w:t>) has been developed to determine whether or not an air quality effect can be screened as insignificant or not by the regulator, or significant or not by the planning authority, respectively. The approach described in these documents have been considered and utilised alongside the EPA AG4 guidance in the assessment. The applicant notes that where possible, the approaches described in the air quality specific guidance have been reported in a manner that is compatible with the requirements of the EPA Guidelines (</w:t>
                  </w:r>
                  <w:r w:rsidRPr="0014771B">
                    <w:rPr>
                      <w:rFonts w:ascii="Arial" w:hAnsi="Arial" w:cs="Arial"/>
                      <w:i/>
                      <w:iCs/>
                    </w:rPr>
                    <w:t>EPA (2022), Guidelines on the information to be contained in Environmental Impact Assessment Reports</w:t>
                  </w:r>
                  <w:r w:rsidRPr="0014771B">
                    <w:rPr>
                      <w:rFonts w:ascii="Arial" w:hAnsi="Arial" w:cs="Arial"/>
                    </w:rPr>
                    <w:t>).</w:t>
                  </w:r>
                </w:p>
                <w:p w14:paraId="466A8B61" w14:textId="0C1A2DEE" w:rsidR="00853599" w:rsidRPr="0014771B" w:rsidRDefault="00853599" w:rsidP="00245F22">
                  <w:pPr>
                    <w:jc w:val="both"/>
                    <w:rPr>
                      <w:rFonts w:ascii="Arial" w:hAnsi="Arial" w:cs="Arial"/>
                    </w:rPr>
                  </w:pPr>
                </w:p>
              </w:tc>
              <w:tc>
                <w:tcPr>
                  <w:tcW w:w="4091" w:type="dxa"/>
                </w:tcPr>
                <w:p w14:paraId="61C4E48F" w14:textId="598120A8" w:rsidR="00853599" w:rsidRPr="0014771B" w:rsidRDefault="00853599" w:rsidP="00245F22">
                  <w:pPr>
                    <w:jc w:val="both"/>
                    <w:rPr>
                      <w:rFonts w:ascii="Arial" w:hAnsi="Arial" w:cs="Arial"/>
                      <w:b/>
                      <w:bCs/>
                    </w:rPr>
                  </w:pPr>
                  <w:r w:rsidRPr="0014771B">
                    <w:rPr>
                      <w:rFonts w:ascii="Arial" w:hAnsi="Arial" w:cs="Arial"/>
                      <w:b/>
                      <w:bCs/>
                    </w:rPr>
                    <w:lastRenderedPageBreak/>
                    <w:t xml:space="preserve">Adequacy of Forecasting </w:t>
                  </w:r>
                </w:p>
                <w:p w14:paraId="638E6D83" w14:textId="21020451" w:rsidR="00853599" w:rsidRPr="0014771B" w:rsidRDefault="00853599" w:rsidP="00245F22">
                  <w:pPr>
                    <w:jc w:val="both"/>
                    <w:rPr>
                      <w:rFonts w:ascii="Arial" w:hAnsi="Arial" w:cs="Arial"/>
                    </w:rPr>
                  </w:pPr>
                  <w:r w:rsidRPr="0014771B">
                    <w:rPr>
                      <w:rFonts w:ascii="Arial" w:hAnsi="Arial" w:cs="Arial"/>
                    </w:rPr>
                    <w:t>I consider IAQM, TII technical guidance document PE-ENV-01106 and Atmospheric Dispersion Modelling System ADMS 6 (version 6.0) to be appropriate and adequate forecasting methods to assess the likely impacts of the development proposed.</w:t>
                  </w:r>
                </w:p>
                <w:p w14:paraId="055E6D97" w14:textId="77777777" w:rsidR="00853599" w:rsidRPr="0014771B" w:rsidRDefault="00853599" w:rsidP="00245F22">
                  <w:pPr>
                    <w:jc w:val="both"/>
                    <w:rPr>
                      <w:rFonts w:ascii="Arial" w:hAnsi="Arial" w:cs="Arial"/>
                    </w:rPr>
                  </w:pPr>
                </w:p>
                <w:p w14:paraId="78BB4840" w14:textId="532B7EB5" w:rsidR="00853599" w:rsidRPr="0014771B" w:rsidRDefault="00853599" w:rsidP="00245F22">
                  <w:pPr>
                    <w:jc w:val="both"/>
                    <w:rPr>
                      <w:rFonts w:ascii="Arial" w:hAnsi="Arial" w:cs="Arial"/>
                    </w:rPr>
                  </w:pPr>
                  <w:r w:rsidRPr="0014771B">
                    <w:rPr>
                      <w:rFonts w:ascii="Arial" w:hAnsi="Arial" w:cs="Arial"/>
                    </w:rPr>
                    <w:lastRenderedPageBreak/>
                    <w:t>I consider the Significant Effects have been described as per the most relevant and latest guidance available. (See Section 7.3.4 of EIAR).</w:t>
                  </w:r>
                </w:p>
                <w:p w14:paraId="56519348" w14:textId="77777777" w:rsidR="00853599" w:rsidRPr="0014771B" w:rsidRDefault="00853599" w:rsidP="00245F22">
                  <w:pPr>
                    <w:jc w:val="both"/>
                    <w:rPr>
                      <w:rFonts w:ascii="Arial" w:hAnsi="Arial" w:cs="Arial"/>
                    </w:rPr>
                  </w:pPr>
                </w:p>
                <w:p w14:paraId="230A193D" w14:textId="61BC5B8E" w:rsidR="00853599" w:rsidRPr="0014771B" w:rsidRDefault="00853599" w:rsidP="00245F22">
                  <w:pPr>
                    <w:jc w:val="both"/>
                    <w:rPr>
                      <w:rFonts w:ascii="Arial" w:hAnsi="Arial" w:cs="Arial"/>
                      <w:b/>
                      <w:bCs/>
                    </w:rPr>
                  </w:pPr>
                  <w:r w:rsidRPr="0014771B">
                    <w:rPr>
                      <w:rFonts w:ascii="Arial" w:hAnsi="Arial" w:cs="Arial"/>
                      <w:b/>
                      <w:bCs/>
                    </w:rPr>
                    <w:t>Difficulties/Omissions</w:t>
                  </w:r>
                </w:p>
                <w:p w14:paraId="25914477" w14:textId="4F7D1D6A" w:rsidR="00853599" w:rsidRPr="0014771B" w:rsidRDefault="00853599" w:rsidP="00245F22">
                  <w:pPr>
                    <w:jc w:val="both"/>
                    <w:rPr>
                      <w:rFonts w:ascii="Arial" w:hAnsi="Arial" w:cs="Arial"/>
                    </w:rPr>
                  </w:pPr>
                  <w:r w:rsidRPr="0014771B">
                    <w:rPr>
                      <w:rFonts w:ascii="Arial" w:hAnsi="Arial" w:cs="Arial"/>
                    </w:rPr>
                    <w:t xml:space="preserve">There are inherent uncertainties described in the EIAR with dispersion modelling including source emissions data. To reduce uncertainty, the assessment has used emissions information from other sources as appropriate. </w:t>
                  </w:r>
                </w:p>
                <w:p w14:paraId="23F1AF2D" w14:textId="77777777" w:rsidR="00853599" w:rsidRPr="0014771B" w:rsidRDefault="00853599" w:rsidP="00245F22">
                  <w:pPr>
                    <w:jc w:val="both"/>
                    <w:rPr>
                      <w:rFonts w:ascii="Arial" w:hAnsi="Arial" w:cs="Arial"/>
                    </w:rPr>
                  </w:pPr>
                </w:p>
                <w:p w14:paraId="56537AD9" w14:textId="77777777" w:rsidR="00853599" w:rsidRPr="0014771B" w:rsidRDefault="00853599" w:rsidP="00245F22">
                  <w:pPr>
                    <w:jc w:val="both"/>
                    <w:rPr>
                      <w:rFonts w:ascii="Arial" w:hAnsi="Arial" w:cs="Arial"/>
                    </w:rPr>
                  </w:pPr>
                  <w:r w:rsidRPr="0014771B">
                    <w:rPr>
                      <w:rFonts w:ascii="Arial" w:hAnsi="Arial" w:cs="Arial"/>
                    </w:rPr>
                    <w:t xml:space="preserve">To reduce uncertainty for meteorological data, the assessment has modelled for five years for the worst-case scenario.  </w:t>
                  </w:r>
                </w:p>
                <w:p w14:paraId="53E41370" w14:textId="77777777" w:rsidR="00853599" w:rsidRPr="0014771B" w:rsidRDefault="00853599" w:rsidP="00245F22">
                  <w:pPr>
                    <w:jc w:val="both"/>
                    <w:rPr>
                      <w:rFonts w:ascii="Arial" w:hAnsi="Arial" w:cs="Arial"/>
                    </w:rPr>
                  </w:pPr>
                </w:p>
                <w:p w14:paraId="4A39E4A8" w14:textId="6BD6AC94" w:rsidR="00853599" w:rsidRPr="0014771B" w:rsidRDefault="00853599" w:rsidP="00245F22">
                  <w:pPr>
                    <w:jc w:val="both"/>
                    <w:rPr>
                      <w:rFonts w:ascii="Arial" w:hAnsi="Arial" w:cs="Arial"/>
                    </w:rPr>
                  </w:pPr>
                  <w:r w:rsidRPr="0014771B">
                    <w:rPr>
                      <w:rFonts w:ascii="Arial" w:hAnsi="Arial" w:cs="Arial"/>
                    </w:rPr>
                    <w:t xml:space="preserve">For baseline conditions in relation to nitrogen deposition rate data, the background value was taken from research published by the EPA.  </w:t>
                  </w:r>
                </w:p>
                <w:p w14:paraId="13FA6A4F" w14:textId="227752EE" w:rsidR="00853599" w:rsidRPr="0014771B" w:rsidRDefault="00853599" w:rsidP="00245F22">
                  <w:pPr>
                    <w:jc w:val="both"/>
                    <w:rPr>
                      <w:rFonts w:ascii="Arial" w:hAnsi="Arial" w:cs="Arial"/>
                    </w:rPr>
                  </w:pPr>
                  <w:r w:rsidRPr="0014771B">
                    <w:rPr>
                      <w:rFonts w:ascii="Arial" w:hAnsi="Arial" w:cs="Arial"/>
                    </w:rPr>
                    <w:t xml:space="preserve">The air quality assessment has also made a number of assumptions where precise information or data is not available, although </w:t>
                  </w:r>
                  <w:proofErr w:type="gramStart"/>
                  <w:r w:rsidRPr="0014771B">
                    <w:rPr>
                      <w:rFonts w:ascii="Arial" w:hAnsi="Arial" w:cs="Arial"/>
                    </w:rPr>
                    <w:t>its</w:t>
                  </w:r>
                  <w:proofErr w:type="gramEnd"/>
                  <w:r w:rsidRPr="0014771B">
                    <w:rPr>
                      <w:rFonts w:ascii="Arial" w:hAnsi="Arial" w:cs="Arial"/>
                    </w:rPr>
                    <w:t xml:space="preserve"> noted by the applicant that assumptions are informed by relevant guidance.</w:t>
                  </w:r>
                </w:p>
                <w:p w14:paraId="29E92669" w14:textId="77777777" w:rsidR="00853599" w:rsidRPr="0014771B" w:rsidRDefault="00853599" w:rsidP="00245F22">
                  <w:pPr>
                    <w:jc w:val="both"/>
                    <w:rPr>
                      <w:rFonts w:ascii="Arial" w:hAnsi="Arial" w:cs="Arial"/>
                    </w:rPr>
                  </w:pPr>
                </w:p>
                <w:p w14:paraId="0071F410" w14:textId="1C2FE2C0" w:rsidR="00853599" w:rsidRPr="0014771B" w:rsidRDefault="00853599" w:rsidP="00245F22">
                  <w:pPr>
                    <w:jc w:val="both"/>
                    <w:rPr>
                      <w:rFonts w:ascii="Arial" w:hAnsi="Arial" w:cs="Arial"/>
                    </w:rPr>
                  </w:pPr>
                  <w:r w:rsidRPr="0014771B">
                    <w:rPr>
                      <w:rFonts w:ascii="Arial" w:hAnsi="Arial" w:cs="Arial"/>
                    </w:rPr>
                    <w:t>I am satisfied the Applicant has highlighted the uncertainties and omissions in the data in relation to Air Quality and has used appropriate guidance and assumptions to assess the likely significant impacts.</w:t>
                  </w:r>
                </w:p>
              </w:tc>
            </w:tr>
            <w:tr w:rsidR="00853599" w:rsidRPr="0014771B" w14:paraId="257EB959" w14:textId="77777777" w:rsidTr="00853599">
              <w:tc>
                <w:tcPr>
                  <w:tcW w:w="9221" w:type="dxa"/>
                  <w:gridSpan w:val="2"/>
                  <w:shd w:val="clear" w:color="auto" w:fill="D9D9D9" w:themeFill="background1" w:themeFillShade="D9"/>
                </w:tcPr>
                <w:p w14:paraId="344711B2" w14:textId="78C6E3AB" w:rsidR="00853599" w:rsidRPr="0014771B" w:rsidRDefault="00853599" w:rsidP="00F665C7">
                  <w:pPr>
                    <w:jc w:val="center"/>
                    <w:rPr>
                      <w:rFonts w:ascii="Arial" w:hAnsi="Arial" w:cs="Arial"/>
                    </w:rPr>
                  </w:pPr>
                  <w:r w:rsidRPr="0014771B">
                    <w:rPr>
                      <w:rFonts w:ascii="Arial" w:hAnsi="Arial" w:cs="Arial"/>
                      <w:b/>
                      <w:bCs/>
                    </w:rPr>
                    <w:lastRenderedPageBreak/>
                    <w:t>Chapter 8 (Cultural Heritage)</w:t>
                  </w:r>
                </w:p>
              </w:tc>
            </w:tr>
            <w:tr w:rsidR="00853599" w:rsidRPr="0014771B" w14:paraId="4FE1A03F" w14:textId="77777777" w:rsidTr="00853599">
              <w:tc>
                <w:tcPr>
                  <w:tcW w:w="5130" w:type="dxa"/>
                </w:tcPr>
                <w:p w14:paraId="2FA0968B" w14:textId="14FC8902" w:rsidR="00853599" w:rsidRPr="0014771B" w:rsidRDefault="00853599" w:rsidP="00F665C7">
                  <w:pPr>
                    <w:jc w:val="both"/>
                    <w:rPr>
                      <w:rFonts w:ascii="Arial" w:hAnsi="Arial" w:cs="Arial"/>
                    </w:rPr>
                  </w:pPr>
                  <w:r w:rsidRPr="0014771B">
                    <w:rPr>
                      <w:rFonts w:ascii="Arial" w:hAnsi="Arial" w:cs="Arial"/>
                      <w:b/>
                      <w:bCs/>
                    </w:rPr>
                    <w:t>Description of Forecasting Method Used</w:t>
                  </w:r>
                </w:p>
              </w:tc>
              <w:tc>
                <w:tcPr>
                  <w:tcW w:w="4091" w:type="dxa"/>
                </w:tcPr>
                <w:p w14:paraId="3EBC10E9" w14:textId="3720E187" w:rsidR="00853599" w:rsidRPr="0014771B" w:rsidRDefault="00853599" w:rsidP="00F665C7">
                  <w:pPr>
                    <w:jc w:val="both"/>
                    <w:rPr>
                      <w:rFonts w:ascii="Arial" w:hAnsi="Arial" w:cs="Arial"/>
                    </w:rPr>
                  </w:pPr>
                  <w:r w:rsidRPr="0014771B">
                    <w:rPr>
                      <w:rFonts w:ascii="Arial" w:hAnsi="Arial" w:cs="Arial"/>
                      <w:b/>
                      <w:bCs/>
                    </w:rPr>
                    <w:t>Adequacy/Omissions/Difficulties</w:t>
                  </w:r>
                </w:p>
              </w:tc>
            </w:tr>
            <w:tr w:rsidR="00853599" w:rsidRPr="0014771B" w14:paraId="236D26E4" w14:textId="77777777" w:rsidTr="00853599">
              <w:tc>
                <w:tcPr>
                  <w:tcW w:w="5130" w:type="dxa"/>
                </w:tcPr>
                <w:p w14:paraId="4667F4D2" w14:textId="28964CC2" w:rsidR="00853599" w:rsidRPr="0014771B" w:rsidRDefault="00853599" w:rsidP="00446046">
                  <w:pPr>
                    <w:jc w:val="both"/>
                    <w:rPr>
                      <w:rFonts w:ascii="Arial" w:hAnsi="Arial" w:cs="Arial"/>
                    </w:rPr>
                  </w:pPr>
                  <w:r w:rsidRPr="0014771B">
                    <w:rPr>
                      <w:rFonts w:ascii="Arial" w:hAnsi="Arial" w:cs="Arial"/>
                    </w:rPr>
                    <w:t>No Forecasting carried out for this Chapter</w:t>
                  </w:r>
                </w:p>
              </w:tc>
              <w:tc>
                <w:tcPr>
                  <w:tcW w:w="4091" w:type="dxa"/>
                </w:tcPr>
                <w:p w14:paraId="1D2805A4" w14:textId="316A08FF" w:rsidR="00853599" w:rsidRPr="0014771B" w:rsidRDefault="00853599" w:rsidP="00446046">
                  <w:pPr>
                    <w:jc w:val="both"/>
                    <w:rPr>
                      <w:rFonts w:ascii="Arial" w:hAnsi="Arial" w:cs="Arial"/>
                      <w:b/>
                      <w:bCs/>
                    </w:rPr>
                  </w:pPr>
                  <w:r w:rsidRPr="0014771B">
                    <w:rPr>
                      <w:rFonts w:ascii="Arial" w:hAnsi="Arial" w:cs="Arial"/>
                    </w:rPr>
                    <w:t>N/A</w:t>
                  </w:r>
                </w:p>
              </w:tc>
            </w:tr>
            <w:tr w:rsidR="00853599" w:rsidRPr="0014771B" w14:paraId="2DA14171" w14:textId="77777777" w:rsidTr="00853599">
              <w:tc>
                <w:tcPr>
                  <w:tcW w:w="5130" w:type="dxa"/>
                </w:tcPr>
                <w:p w14:paraId="4AA9AC05" w14:textId="77777777" w:rsidR="00853599" w:rsidRPr="0014771B" w:rsidRDefault="00853599" w:rsidP="00446046">
                  <w:pPr>
                    <w:jc w:val="both"/>
                    <w:rPr>
                      <w:rFonts w:ascii="Arial" w:hAnsi="Arial" w:cs="Arial"/>
                      <w:b/>
                      <w:bCs/>
                    </w:rPr>
                  </w:pPr>
                </w:p>
              </w:tc>
              <w:tc>
                <w:tcPr>
                  <w:tcW w:w="4091" w:type="dxa"/>
                </w:tcPr>
                <w:p w14:paraId="6A392730" w14:textId="77777777" w:rsidR="00853599" w:rsidRPr="0014771B" w:rsidRDefault="00853599" w:rsidP="00446046">
                  <w:pPr>
                    <w:jc w:val="both"/>
                    <w:rPr>
                      <w:rFonts w:ascii="Arial" w:hAnsi="Arial" w:cs="Arial"/>
                      <w:b/>
                      <w:bCs/>
                    </w:rPr>
                  </w:pPr>
                </w:p>
              </w:tc>
            </w:tr>
            <w:tr w:rsidR="00853599" w:rsidRPr="0014771B" w14:paraId="049F60CD" w14:textId="77777777" w:rsidTr="00853599">
              <w:tc>
                <w:tcPr>
                  <w:tcW w:w="9221" w:type="dxa"/>
                  <w:gridSpan w:val="2"/>
                  <w:shd w:val="clear" w:color="auto" w:fill="D9D9D9" w:themeFill="background1" w:themeFillShade="D9"/>
                </w:tcPr>
                <w:p w14:paraId="0E76F4F0" w14:textId="02858AA6" w:rsidR="00853599" w:rsidRPr="0014771B" w:rsidRDefault="00853599" w:rsidP="00DF590C">
                  <w:pPr>
                    <w:jc w:val="center"/>
                    <w:rPr>
                      <w:rFonts w:ascii="Arial" w:hAnsi="Arial" w:cs="Arial"/>
                    </w:rPr>
                  </w:pPr>
                  <w:r w:rsidRPr="0014771B">
                    <w:rPr>
                      <w:rFonts w:ascii="Arial" w:hAnsi="Arial" w:cs="Arial"/>
                      <w:b/>
                      <w:bCs/>
                    </w:rPr>
                    <w:t>Chapter 9 (Biodiversity)</w:t>
                  </w:r>
                </w:p>
              </w:tc>
            </w:tr>
            <w:tr w:rsidR="00853599" w:rsidRPr="0014771B" w14:paraId="0A892FC7" w14:textId="77777777" w:rsidTr="00853599">
              <w:tc>
                <w:tcPr>
                  <w:tcW w:w="5130" w:type="dxa"/>
                </w:tcPr>
                <w:p w14:paraId="0E3E49CC" w14:textId="254D6757" w:rsidR="00853599" w:rsidRPr="0014771B" w:rsidRDefault="00853599" w:rsidP="00446046">
                  <w:pPr>
                    <w:jc w:val="both"/>
                    <w:rPr>
                      <w:rFonts w:ascii="Arial" w:hAnsi="Arial" w:cs="Arial"/>
                    </w:rPr>
                  </w:pPr>
                  <w:r w:rsidRPr="0014771B">
                    <w:rPr>
                      <w:rFonts w:ascii="Arial" w:hAnsi="Arial" w:cs="Arial"/>
                      <w:b/>
                      <w:bCs/>
                    </w:rPr>
                    <w:t>Description of Forecasting Method Used</w:t>
                  </w:r>
                </w:p>
              </w:tc>
              <w:tc>
                <w:tcPr>
                  <w:tcW w:w="4091" w:type="dxa"/>
                </w:tcPr>
                <w:p w14:paraId="06A1DC32" w14:textId="2582448E" w:rsidR="00853599" w:rsidRPr="0014771B" w:rsidRDefault="00853599" w:rsidP="00446046">
                  <w:pPr>
                    <w:jc w:val="both"/>
                    <w:rPr>
                      <w:rFonts w:ascii="Arial" w:hAnsi="Arial" w:cs="Arial"/>
                    </w:rPr>
                  </w:pPr>
                  <w:r w:rsidRPr="0014771B">
                    <w:rPr>
                      <w:rFonts w:ascii="Arial" w:hAnsi="Arial" w:cs="Arial"/>
                      <w:b/>
                      <w:bCs/>
                    </w:rPr>
                    <w:t>Adequacy/Omissions/Difficulties</w:t>
                  </w:r>
                </w:p>
              </w:tc>
            </w:tr>
            <w:tr w:rsidR="00853599" w:rsidRPr="0014771B" w14:paraId="1226AF41" w14:textId="77777777" w:rsidTr="00853599">
              <w:tc>
                <w:tcPr>
                  <w:tcW w:w="5130" w:type="dxa"/>
                </w:tcPr>
                <w:p w14:paraId="0A341532" w14:textId="729BDCD0" w:rsidR="00853599" w:rsidRPr="0014771B" w:rsidRDefault="00853599" w:rsidP="00446046">
                  <w:pPr>
                    <w:jc w:val="both"/>
                    <w:rPr>
                      <w:rFonts w:ascii="Arial" w:hAnsi="Arial" w:cs="Arial"/>
                    </w:rPr>
                  </w:pPr>
                  <w:r w:rsidRPr="0014771B">
                    <w:rPr>
                      <w:rFonts w:ascii="Arial" w:hAnsi="Arial" w:cs="Arial"/>
                    </w:rPr>
                    <w:t>No Forecasting carried out for this Chapter</w:t>
                  </w:r>
                </w:p>
              </w:tc>
              <w:tc>
                <w:tcPr>
                  <w:tcW w:w="4091" w:type="dxa"/>
                </w:tcPr>
                <w:p w14:paraId="0B1DD2A5" w14:textId="4740438C" w:rsidR="00853599" w:rsidRPr="0014771B" w:rsidRDefault="00853599" w:rsidP="00446046">
                  <w:pPr>
                    <w:jc w:val="both"/>
                    <w:rPr>
                      <w:rFonts w:ascii="Arial" w:hAnsi="Arial" w:cs="Arial"/>
                    </w:rPr>
                  </w:pPr>
                  <w:r w:rsidRPr="0014771B">
                    <w:rPr>
                      <w:rFonts w:ascii="Arial" w:hAnsi="Arial" w:cs="Arial"/>
                    </w:rPr>
                    <w:t>N/A</w:t>
                  </w:r>
                </w:p>
              </w:tc>
            </w:tr>
            <w:tr w:rsidR="00853599" w:rsidRPr="0014771B" w14:paraId="4B1BDB2E" w14:textId="77777777" w:rsidTr="00853599">
              <w:tc>
                <w:tcPr>
                  <w:tcW w:w="5130" w:type="dxa"/>
                </w:tcPr>
                <w:p w14:paraId="7CD07EC8" w14:textId="77777777" w:rsidR="00853599" w:rsidRPr="0014771B" w:rsidRDefault="00853599" w:rsidP="00446046">
                  <w:pPr>
                    <w:jc w:val="both"/>
                    <w:rPr>
                      <w:rFonts w:ascii="Arial" w:hAnsi="Arial" w:cs="Arial"/>
                    </w:rPr>
                  </w:pPr>
                </w:p>
              </w:tc>
              <w:tc>
                <w:tcPr>
                  <w:tcW w:w="4091" w:type="dxa"/>
                </w:tcPr>
                <w:p w14:paraId="659CCAC5" w14:textId="77777777" w:rsidR="00853599" w:rsidRPr="0014771B" w:rsidRDefault="00853599" w:rsidP="00446046">
                  <w:pPr>
                    <w:jc w:val="both"/>
                    <w:rPr>
                      <w:rFonts w:ascii="Arial" w:hAnsi="Arial" w:cs="Arial"/>
                    </w:rPr>
                  </w:pPr>
                </w:p>
              </w:tc>
            </w:tr>
            <w:tr w:rsidR="00853599" w:rsidRPr="0014771B" w14:paraId="5D5864A7" w14:textId="77777777" w:rsidTr="00853599">
              <w:tc>
                <w:tcPr>
                  <w:tcW w:w="9221" w:type="dxa"/>
                  <w:gridSpan w:val="2"/>
                  <w:shd w:val="clear" w:color="auto" w:fill="D9D9D9" w:themeFill="background1" w:themeFillShade="D9"/>
                </w:tcPr>
                <w:p w14:paraId="4F006610" w14:textId="5EC92A34" w:rsidR="00853599" w:rsidRPr="0014771B" w:rsidRDefault="00853599" w:rsidP="004C7088">
                  <w:pPr>
                    <w:jc w:val="center"/>
                    <w:rPr>
                      <w:rFonts w:ascii="Arial" w:hAnsi="Arial" w:cs="Arial"/>
                    </w:rPr>
                  </w:pPr>
                  <w:r w:rsidRPr="0014771B">
                    <w:rPr>
                      <w:rFonts w:ascii="Arial" w:hAnsi="Arial" w:cs="Arial"/>
                      <w:b/>
                      <w:bCs/>
                    </w:rPr>
                    <w:t>Chapter 10 (Landscape and Visual)</w:t>
                  </w:r>
                </w:p>
              </w:tc>
            </w:tr>
            <w:tr w:rsidR="00853599" w:rsidRPr="0014771B" w14:paraId="7A4CCBB4" w14:textId="77777777" w:rsidTr="00853599">
              <w:tc>
                <w:tcPr>
                  <w:tcW w:w="5130" w:type="dxa"/>
                </w:tcPr>
                <w:p w14:paraId="07AA47C6" w14:textId="2B73C96F" w:rsidR="00853599" w:rsidRPr="0014771B" w:rsidRDefault="00853599" w:rsidP="00446046">
                  <w:pPr>
                    <w:jc w:val="both"/>
                    <w:rPr>
                      <w:rFonts w:ascii="Arial" w:hAnsi="Arial" w:cs="Arial"/>
                    </w:rPr>
                  </w:pPr>
                  <w:r w:rsidRPr="0014771B">
                    <w:rPr>
                      <w:rFonts w:ascii="Arial" w:hAnsi="Arial" w:cs="Arial"/>
                      <w:b/>
                      <w:bCs/>
                    </w:rPr>
                    <w:t>Description of Forecasting Method Used</w:t>
                  </w:r>
                </w:p>
              </w:tc>
              <w:tc>
                <w:tcPr>
                  <w:tcW w:w="4091" w:type="dxa"/>
                </w:tcPr>
                <w:p w14:paraId="2A903BA4" w14:textId="14036658" w:rsidR="00853599" w:rsidRPr="0014771B" w:rsidRDefault="00853599" w:rsidP="00446046">
                  <w:pPr>
                    <w:jc w:val="both"/>
                    <w:rPr>
                      <w:rFonts w:ascii="Arial" w:hAnsi="Arial" w:cs="Arial"/>
                    </w:rPr>
                  </w:pPr>
                  <w:r w:rsidRPr="0014771B">
                    <w:rPr>
                      <w:rFonts w:ascii="Arial" w:hAnsi="Arial" w:cs="Arial"/>
                      <w:b/>
                      <w:bCs/>
                    </w:rPr>
                    <w:t>Adequacy/Omissions/Difficulties</w:t>
                  </w:r>
                </w:p>
              </w:tc>
            </w:tr>
            <w:tr w:rsidR="00853599" w:rsidRPr="0014771B" w14:paraId="4D218A6F" w14:textId="77777777" w:rsidTr="00853599">
              <w:tc>
                <w:tcPr>
                  <w:tcW w:w="5130" w:type="dxa"/>
                </w:tcPr>
                <w:p w14:paraId="7F2A4F82" w14:textId="512DA833" w:rsidR="00853599" w:rsidRPr="0014771B" w:rsidRDefault="00853599" w:rsidP="00417B5A">
                  <w:pPr>
                    <w:jc w:val="both"/>
                    <w:rPr>
                      <w:rFonts w:ascii="Arial" w:hAnsi="Arial" w:cs="Arial"/>
                    </w:rPr>
                  </w:pPr>
                  <w:r w:rsidRPr="0014771B">
                    <w:rPr>
                      <w:rFonts w:ascii="Arial" w:hAnsi="Arial" w:cs="Arial"/>
                    </w:rPr>
                    <w:t>No Forecasting carried out for this Chapter</w:t>
                  </w:r>
                </w:p>
              </w:tc>
              <w:tc>
                <w:tcPr>
                  <w:tcW w:w="4091" w:type="dxa"/>
                </w:tcPr>
                <w:p w14:paraId="15392A89" w14:textId="5F9A8CCF" w:rsidR="00853599" w:rsidRPr="0014771B" w:rsidRDefault="00853599" w:rsidP="00417B5A">
                  <w:pPr>
                    <w:jc w:val="both"/>
                    <w:rPr>
                      <w:rFonts w:ascii="Arial" w:hAnsi="Arial" w:cs="Arial"/>
                    </w:rPr>
                  </w:pPr>
                  <w:r w:rsidRPr="0014771B">
                    <w:rPr>
                      <w:rFonts w:ascii="Arial" w:hAnsi="Arial" w:cs="Arial"/>
                    </w:rPr>
                    <w:t>N/A</w:t>
                  </w:r>
                </w:p>
              </w:tc>
            </w:tr>
            <w:tr w:rsidR="00853599" w:rsidRPr="0014771B" w14:paraId="2C8A9D91" w14:textId="77777777" w:rsidTr="00853599">
              <w:tc>
                <w:tcPr>
                  <w:tcW w:w="5130" w:type="dxa"/>
                </w:tcPr>
                <w:p w14:paraId="1C15DA44" w14:textId="77777777" w:rsidR="00853599" w:rsidRPr="0014771B" w:rsidRDefault="00853599" w:rsidP="00417B5A">
                  <w:pPr>
                    <w:jc w:val="both"/>
                    <w:rPr>
                      <w:rFonts w:ascii="Arial" w:hAnsi="Arial" w:cs="Arial"/>
                    </w:rPr>
                  </w:pPr>
                </w:p>
              </w:tc>
              <w:tc>
                <w:tcPr>
                  <w:tcW w:w="4091" w:type="dxa"/>
                </w:tcPr>
                <w:p w14:paraId="0D6310DD" w14:textId="77777777" w:rsidR="00853599" w:rsidRPr="0014771B" w:rsidRDefault="00853599" w:rsidP="00417B5A">
                  <w:pPr>
                    <w:jc w:val="both"/>
                    <w:rPr>
                      <w:rFonts w:ascii="Arial" w:hAnsi="Arial" w:cs="Arial"/>
                    </w:rPr>
                  </w:pPr>
                </w:p>
              </w:tc>
            </w:tr>
            <w:tr w:rsidR="00853599" w:rsidRPr="0014771B" w14:paraId="7FEC2B51" w14:textId="77777777" w:rsidTr="00853599">
              <w:tc>
                <w:tcPr>
                  <w:tcW w:w="9221" w:type="dxa"/>
                  <w:gridSpan w:val="2"/>
                  <w:shd w:val="clear" w:color="auto" w:fill="D9D9D9" w:themeFill="background1" w:themeFillShade="D9"/>
                </w:tcPr>
                <w:p w14:paraId="6EBA661C" w14:textId="7779C5E6" w:rsidR="00853599" w:rsidRPr="0014771B" w:rsidRDefault="00853599" w:rsidP="00417B5A">
                  <w:pPr>
                    <w:jc w:val="center"/>
                    <w:rPr>
                      <w:rFonts w:ascii="Arial" w:hAnsi="Arial" w:cs="Arial"/>
                    </w:rPr>
                  </w:pPr>
                  <w:r w:rsidRPr="0014771B">
                    <w:rPr>
                      <w:rFonts w:ascii="Arial" w:hAnsi="Arial" w:cs="Arial"/>
                      <w:b/>
                      <w:bCs/>
                    </w:rPr>
                    <w:t>Chapter 11 (Noise and Vibration)</w:t>
                  </w:r>
                </w:p>
              </w:tc>
            </w:tr>
            <w:tr w:rsidR="00853599" w:rsidRPr="0014771B" w14:paraId="29D7E10C" w14:textId="77777777" w:rsidTr="00853599">
              <w:tc>
                <w:tcPr>
                  <w:tcW w:w="5130" w:type="dxa"/>
                </w:tcPr>
                <w:p w14:paraId="11EB2C7E" w14:textId="09DC5344" w:rsidR="00853599" w:rsidRPr="0014771B" w:rsidRDefault="00853599" w:rsidP="00417B5A">
                  <w:pPr>
                    <w:jc w:val="both"/>
                    <w:rPr>
                      <w:rFonts w:ascii="Arial" w:hAnsi="Arial" w:cs="Arial"/>
                    </w:rPr>
                  </w:pPr>
                  <w:r w:rsidRPr="0014771B">
                    <w:rPr>
                      <w:rFonts w:ascii="Arial" w:hAnsi="Arial" w:cs="Arial"/>
                      <w:b/>
                      <w:bCs/>
                    </w:rPr>
                    <w:t>Description of Forecasting Method Used</w:t>
                  </w:r>
                </w:p>
              </w:tc>
              <w:tc>
                <w:tcPr>
                  <w:tcW w:w="4091" w:type="dxa"/>
                </w:tcPr>
                <w:p w14:paraId="06168ACF" w14:textId="64732062" w:rsidR="00853599" w:rsidRPr="0014771B" w:rsidRDefault="00853599" w:rsidP="00417B5A">
                  <w:pPr>
                    <w:jc w:val="both"/>
                    <w:rPr>
                      <w:rFonts w:ascii="Arial" w:hAnsi="Arial" w:cs="Arial"/>
                    </w:rPr>
                  </w:pPr>
                  <w:r w:rsidRPr="0014771B">
                    <w:rPr>
                      <w:rFonts w:ascii="Arial" w:hAnsi="Arial" w:cs="Arial"/>
                      <w:b/>
                      <w:bCs/>
                    </w:rPr>
                    <w:t>Adequacy/Omissions/Difficulties</w:t>
                  </w:r>
                </w:p>
              </w:tc>
            </w:tr>
            <w:tr w:rsidR="00853599" w:rsidRPr="0014771B" w14:paraId="3BAA4FC5" w14:textId="77777777" w:rsidTr="00853599">
              <w:tc>
                <w:tcPr>
                  <w:tcW w:w="5130" w:type="dxa"/>
                </w:tcPr>
                <w:p w14:paraId="210816AA" w14:textId="77777777" w:rsidR="00853599" w:rsidRPr="0014771B" w:rsidRDefault="00853599" w:rsidP="003133D5">
                  <w:pPr>
                    <w:jc w:val="both"/>
                    <w:rPr>
                      <w:rFonts w:ascii="Arial" w:hAnsi="Arial" w:cs="Arial"/>
                      <w:b/>
                      <w:bCs/>
                    </w:rPr>
                  </w:pPr>
                  <w:r w:rsidRPr="0014771B">
                    <w:rPr>
                      <w:rFonts w:ascii="Arial" w:hAnsi="Arial" w:cs="Arial"/>
                      <w:b/>
                      <w:bCs/>
                    </w:rPr>
                    <w:t>Construction and Operational Phase - Vibration</w:t>
                  </w:r>
                </w:p>
                <w:p w14:paraId="4E5A313A" w14:textId="77777777" w:rsidR="00853599" w:rsidRPr="0014771B" w:rsidRDefault="00853599" w:rsidP="003133D5">
                  <w:pPr>
                    <w:jc w:val="both"/>
                    <w:rPr>
                      <w:rFonts w:ascii="Arial" w:hAnsi="Arial" w:cs="Arial"/>
                    </w:rPr>
                  </w:pPr>
                  <w:r w:rsidRPr="0014771B">
                    <w:rPr>
                      <w:rFonts w:ascii="Arial" w:hAnsi="Arial" w:cs="Arial"/>
                    </w:rPr>
                    <w:t xml:space="preserve">Construction Phase related vibration was scoped out due to the distance to the nearest receptor, </w:t>
                  </w:r>
                  <w:r w:rsidRPr="0014771B">
                    <w:rPr>
                      <w:rFonts w:ascii="Arial" w:hAnsi="Arial" w:cs="Arial"/>
                    </w:rPr>
                    <w:lastRenderedPageBreak/>
                    <w:t xml:space="preserve">based on the guidance provided in BS5228-2:2009+A1:2014 </w:t>
                  </w:r>
                  <w:r w:rsidRPr="0014771B">
                    <w:rPr>
                      <w:rFonts w:ascii="Arial" w:hAnsi="Arial" w:cs="Arial"/>
                      <w:i/>
                      <w:iCs/>
                    </w:rPr>
                    <w:t>‘Code of practice for noise and vibration control on construction and open sites. Vibration’ (BS5228-2)</w:t>
                  </w:r>
                  <w:r w:rsidRPr="0014771B">
                    <w:rPr>
                      <w:rFonts w:ascii="Arial" w:hAnsi="Arial" w:cs="Arial"/>
                    </w:rPr>
                    <w:t>.</w:t>
                  </w:r>
                </w:p>
                <w:p w14:paraId="751F641F" w14:textId="77777777" w:rsidR="00853599" w:rsidRPr="0014771B" w:rsidRDefault="00853599" w:rsidP="003133D5">
                  <w:pPr>
                    <w:jc w:val="both"/>
                    <w:rPr>
                      <w:rFonts w:ascii="Arial" w:hAnsi="Arial" w:cs="Arial"/>
                    </w:rPr>
                  </w:pPr>
                  <w:r w:rsidRPr="0014771B">
                    <w:rPr>
                      <w:rFonts w:ascii="Arial" w:hAnsi="Arial" w:cs="Arial"/>
                    </w:rPr>
                    <w:t xml:space="preserve">Operational Phase Vibration Impacts scoped out due to the nature of the activities and distance to nearest receptor.  </w:t>
                  </w:r>
                </w:p>
                <w:p w14:paraId="5050E23C" w14:textId="77777777" w:rsidR="00853599" w:rsidRPr="0014771B" w:rsidRDefault="00853599" w:rsidP="003133D5">
                  <w:pPr>
                    <w:jc w:val="both"/>
                    <w:rPr>
                      <w:rFonts w:ascii="Arial" w:hAnsi="Arial" w:cs="Arial"/>
                      <w:b/>
                      <w:bCs/>
                    </w:rPr>
                  </w:pPr>
                  <w:r w:rsidRPr="0014771B">
                    <w:rPr>
                      <w:rFonts w:ascii="Arial" w:hAnsi="Arial" w:cs="Arial"/>
                      <w:b/>
                      <w:bCs/>
                    </w:rPr>
                    <w:t>Construction Phase – Noise</w:t>
                  </w:r>
                </w:p>
                <w:p w14:paraId="4A040411" w14:textId="77777777" w:rsidR="00853599" w:rsidRPr="0014771B" w:rsidRDefault="00853599" w:rsidP="003133D5">
                  <w:pPr>
                    <w:jc w:val="both"/>
                    <w:rPr>
                      <w:rFonts w:ascii="Arial" w:hAnsi="Arial" w:cs="Arial"/>
                    </w:rPr>
                  </w:pPr>
                  <w:r w:rsidRPr="0014771B">
                    <w:rPr>
                      <w:rFonts w:ascii="Arial" w:hAnsi="Arial" w:cs="Arial"/>
                    </w:rPr>
                    <w:t xml:space="preserve">The </w:t>
                  </w:r>
                  <w:r w:rsidRPr="0014771B">
                    <w:rPr>
                      <w:rFonts w:ascii="Arial" w:hAnsi="Arial" w:cs="Arial"/>
                      <w:i/>
                      <w:iCs/>
                    </w:rPr>
                    <w:t>NRA Guidelines (2004), which refer to the Calculation of Road Traffic Noise, Dept. of Transport, Welsh Office 1988, (CTRN) methodology and the Noise Advisory Council (NAC) prediction methodology</w:t>
                  </w:r>
                  <w:r w:rsidRPr="0014771B">
                    <w:rPr>
                      <w:rFonts w:ascii="Arial" w:hAnsi="Arial" w:cs="Arial"/>
                    </w:rPr>
                    <w:t xml:space="preserve"> and BS5228-1:2009+A1:2014 </w:t>
                  </w:r>
                  <w:r w:rsidRPr="0014771B">
                    <w:rPr>
                      <w:rFonts w:ascii="Arial" w:hAnsi="Arial" w:cs="Arial"/>
                      <w:i/>
                      <w:iCs/>
                    </w:rPr>
                    <w:t>'Code of practice for noise and vibration control on construction and open sites’</w:t>
                  </w:r>
                  <w:r w:rsidRPr="0014771B">
                    <w:rPr>
                      <w:rFonts w:ascii="Arial" w:hAnsi="Arial" w:cs="Arial"/>
                    </w:rPr>
                    <w:t xml:space="preserve"> (BS5228-1) was used to assess noise caused by construction site activities and noise caused by increases in traffic on public roads during construction.  </w:t>
                  </w:r>
                </w:p>
                <w:p w14:paraId="171CEC13" w14:textId="77777777" w:rsidR="00853599" w:rsidRPr="0014771B" w:rsidRDefault="00853599" w:rsidP="003133D5">
                  <w:pPr>
                    <w:jc w:val="both"/>
                    <w:rPr>
                      <w:rFonts w:ascii="Arial" w:hAnsi="Arial" w:cs="Arial"/>
                    </w:rPr>
                  </w:pPr>
                  <w:r w:rsidRPr="0014771B">
                    <w:rPr>
                      <w:rFonts w:ascii="Arial" w:hAnsi="Arial" w:cs="Arial"/>
                    </w:rPr>
                    <w:t xml:space="preserve">Where the criteria differ, the more stringent of the two was adopted. </w:t>
                  </w:r>
                </w:p>
                <w:p w14:paraId="4B995DF5" w14:textId="77777777" w:rsidR="00853599" w:rsidRPr="0014771B" w:rsidRDefault="00853599" w:rsidP="003133D5">
                  <w:pPr>
                    <w:jc w:val="both"/>
                    <w:rPr>
                      <w:rFonts w:ascii="Arial" w:hAnsi="Arial" w:cs="Arial"/>
                      <w:b/>
                      <w:bCs/>
                    </w:rPr>
                  </w:pPr>
                  <w:r w:rsidRPr="0014771B">
                    <w:rPr>
                      <w:rFonts w:ascii="Arial" w:hAnsi="Arial" w:cs="Arial"/>
                      <w:b/>
                      <w:bCs/>
                    </w:rPr>
                    <w:t>Operational Phase - Noise</w:t>
                  </w:r>
                </w:p>
                <w:p w14:paraId="55B65DAA" w14:textId="77777777" w:rsidR="00853599" w:rsidRPr="0014771B" w:rsidRDefault="00853599" w:rsidP="003133D5">
                  <w:pPr>
                    <w:jc w:val="both"/>
                    <w:rPr>
                      <w:rFonts w:ascii="Arial" w:hAnsi="Arial" w:cs="Arial"/>
                    </w:rPr>
                  </w:pPr>
                  <w:r w:rsidRPr="0014771B">
                    <w:rPr>
                      <w:rFonts w:ascii="Arial" w:hAnsi="Arial" w:cs="Arial"/>
                    </w:rPr>
                    <w:t xml:space="preserve">The Proposed Development will comply with the requirements of the EU (Large Combustion Plants) Regulations 2012, S.I. No. 566 of 2012, under an IE Licence from the EPA and this will likely be incorporated by a review of the existing IE licence. </w:t>
                  </w:r>
                </w:p>
                <w:p w14:paraId="50341E8B" w14:textId="77777777" w:rsidR="00853599" w:rsidRPr="0014771B" w:rsidRDefault="00853599" w:rsidP="003133D5">
                  <w:pPr>
                    <w:jc w:val="both"/>
                    <w:rPr>
                      <w:rFonts w:ascii="Arial" w:hAnsi="Arial" w:cs="Arial"/>
                    </w:rPr>
                  </w:pPr>
                  <w:r w:rsidRPr="0014771B">
                    <w:rPr>
                      <w:rFonts w:ascii="Arial" w:hAnsi="Arial" w:cs="Arial"/>
                    </w:rPr>
                    <w:t>Methodology from</w:t>
                  </w:r>
                  <w:r w:rsidRPr="0014771B">
                    <w:rPr>
                      <w:rFonts w:ascii="Arial" w:hAnsi="Arial" w:cs="Arial"/>
                      <w:b/>
                      <w:bCs/>
                    </w:rPr>
                    <w:t xml:space="preserve"> NG4:</w:t>
                  </w:r>
                  <w:r w:rsidRPr="0014771B">
                    <w:rPr>
                      <w:rFonts w:ascii="Arial" w:hAnsi="Arial" w:cs="Arial"/>
                    </w:rPr>
                    <w:t xml:space="preserve"> </w:t>
                  </w:r>
                  <w:r w:rsidRPr="0014771B">
                    <w:rPr>
                      <w:rFonts w:ascii="Arial" w:hAnsi="Arial" w:cs="Arial"/>
                      <w:i/>
                      <w:iCs/>
                    </w:rPr>
                    <w:t xml:space="preserve">Guidance Note for Noise: Licence Applications, Surveys and Assessments in Relation to Scheduled Activities (EPA, 2016) was used </w:t>
                  </w:r>
                  <w:r w:rsidRPr="0014771B">
                    <w:rPr>
                      <w:rFonts w:ascii="Arial" w:hAnsi="Arial" w:cs="Arial"/>
                    </w:rPr>
                    <w:t>to predict the likely noise impacts from the operational phase under the ‘All other Areas’ criteria.</w:t>
                  </w:r>
                </w:p>
                <w:p w14:paraId="7BE87E40" w14:textId="7A84A7E3" w:rsidR="00853599" w:rsidRPr="0014771B" w:rsidRDefault="00853599" w:rsidP="003133D5">
                  <w:pPr>
                    <w:jc w:val="both"/>
                    <w:rPr>
                      <w:rFonts w:ascii="Arial" w:hAnsi="Arial" w:cs="Arial"/>
                    </w:rPr>
                  </w:pPr>
                  <w:r w:rsidRPr="0014771B">
                    <w:rPr>
                      <w:rFonts w:ascii="Arial" w:hAnsi="Arial" w:cs="Arial"/>
                    </w:rPr>
                    <w:t xml:space="preserve">Operational noise level prediction used </w:t>
                  </w:r>
                  <w:r w:rsidRPr="0014771B">
                    <w:rPr>
                      <w:rFonts w:ascii="Arial" w:hAnsi="Arial" w:cs="Arial"/>
                      <w:i/>
                      <w:iCs/>
                    </w:rPr>
                    <w:t>ISO 9613-2:1996 Acoustics - Attenuation of sound during propagation outdoors - Part 2: General method of calculation.</w:t>
                  </w:r>
                </w:p>
              </w:tc>
              <w:tc>
                <w:tcPr>
                  <w:tcW w:w="4091" w:type="dxa"/>
                </w:tcPr>
                <w:p w14:paraId="4E29B729" w14:textId="77777777" w:rsidR="00853599" w:rsidRPr="0014771B" w:rsidRDefault="00853599" w:rsidP="003133D5">
                  <w:pPr>
                    <w:jc w:val="both"/>
                    <w:rPr>
                      <w:rFonts w:ascii="Arial" w:hAnsi="Arial" w:cs="Arial"/>
                      <w:b/>
                      <w:bCs/>
                    </w:rPr>
                  </w:pPr>
                  <w:r w:rsidRPr="0014771B">
                    <w:rPr>
                      <w:rFonts w:ascii="Arial" w:hAnsi="Arial" w:cs="Arial"/>
                      <w:b/>
                      <w:bCs/>
                    </w:rPr>
                    <w:lastRenderedPageBreak/>
                    <w:t>Omissions/Difficulties</w:t>
                  </w:r>
                </w:p>
                <w:p w14:paraId="316477F0" w14:textId="77777777" w:rsidR="00853599" w:rsidRPr="0014771B" w:rsidRDefault="00853599" w:rsidP="003133D5">
                  <w:pPr>
                    <w:jc w:val="both"/>
                    <w:rPr>
                      <w:rFonts w:ascii="Arial" w:hAnsi="Arial" w:cs="Arial"/>
                    </w:rPr>
                  </w:pPr>
                  <w:r w:rsidRPr="0014771B">
                    <w:rPr>
                      <w:rFonts w:ascii="Arial" w:hAnsi="Arial" w:cs="Arial"/>
                    </w:rPr>
                    <w:t xml:space="preserve">Section 11.3.6 of the EIAR outlines the Limitations and Assumptions made by </w:t>
                  </w:r>
                  <w:r w:rsidRPr="0014771B">
                    <w:rPr>
                      <w:rFonts w:ascii="Arial" w:hAnsi="Arial" w:cs="Arial"/>
                    </w:rPr>
                    <w:lastRenderedPageBreak/>
                    <w:t xml:space="preserve">the applicant while carrying out the assessment.  </w:t>
                  </w:r>
                </w:p>
                <w:p w14:paraId="7659F612" w14:textId="77777777" w:rsidR="00853599" w:rsidRPr="0014771B" w:rsidRDefault="00853599" w:rsidP="003133D5">
                  <w:pPr>
                    <w:jc w:val="both"/>
                    <w:rPr>
                      <w:rFonts w:ascii="Arial" w:hAnsi="Arial" w:cs="Arial"/>
                    </w:rPr>
                  </w:pPr>
                </w:p>
                <w:p w14:paraId="7442001B" w14:textId="77777777" w:rsidR="00853599" w:rsidRPr="0014771B" w:rsidRDefault="00853599" w:rsidP="003133D5">
                  <w:pPr>
                    <w:jc w:val="both"/>
                    <w:rPr>
                      <w:rFonts w:ascii="Arial" w:hAnsi="Arial" w:cs="Arial"/>
                    </w:rPr>
                  </w:pPr>
                  <w:r w:rsidRPr="0014771B">
                    <w:rPr>
                      <w:rFonts w:ascii="Arial" w:hAnsi="Arial" w:cs="Arial"/>
                    </w:rPr>
                    <w:t>The applicant notes that none of the assumptions effect the efficacy of the assessment of the predicted results.</w:t>
                  </w:r>
                </w:p>
                <w:p w14:paraId="230AF77C" w14:textId="77777777" w:rsidR="00853599" w:rsidRPr="0014771B" w:rsidRDefault="00853599" w:rsidP="003133D5">
                  <w:pPr>
                    <w:jc w:val="both"/>
                    <w:rPr>
                      <w:rFonts w:ascii="Arial" w:hAnsi="Arial" w:cs="Arial"/>
                    </w:rPr>
                  </w:pPr>
                </w:p>
                <w:p w14:paraId="76C50445" w14:textId="77777777" w:rsidR="00853599" w:rsidRPr="0014771B" w:rsidRDefault="00853599" w:rsidP="003133D5">
                  <w:pPr>
                    <w:jc w:val="both"/>
                    <w:rPr>
                      <w:rFonts w:ascii="Arial" w:hAnsi="Arial" w:cs="Arial"/>
                    </w:rPr>
                  </w:pPr>
                  <w:r w:rsidRPr="0014771B">
                    <w:rPr>
                      <w:rFonts w:ascii="Arial" w:hAnsi="Arial" w:cs="Arial"/>
                    </w:rPr>
                    <w:t>I am satisfied the applicant has highlighted the limitations and assumptions adequately.</w:t>
                  </w:r>
                </w:p>
                <w:p w14:paraId="7F41BC0E" w14:textId="77777777" w:rsidR="00853599" w:rsidRDefault="00853599" w:rsidP="003133D5">
                  <w:pPr>
                    <w:jc w:val="both"/>
                    <w:rPr>
                      <w:rFonts w:ascii="Arial" w:hAnsi="Arial" w:cs="Arial"/>
                    </w:rPr>
                  </w:pPr>
                </w:p>
                <w:p w14:paraId="09BE2C59" w14:textId="77777777" w:rsidR="00853599" w:rsidRPr="0014771B" w:rsidRDefault="00853599" w:rsidP="003133D5">
                  <w:pPr>
                    <w:jc w:val="both"/>
                    <w:rPr>
                      <w:rFonts w:ascii="Arial" w:hAnsi="Arial" w:cs="Arial"/>
                    </w:rPr>
                  </w:pPr>
                </w:p>
                <w:p w14:paraId="17D861FF" w14:textId="77777777" w:rsidR="00853599" w:rsidRPr="0014771B" w:rsidRDefault="00853599" w:rsidP="003133D5">
                  <w:pPr>
                    <w:jc w:val="both"/>
                    <w:rPr>
                      <w:rFonts w:ascii="Arial" w:hAnsi="Arial" w:cs="Arial"/>
                      <w:b/>
                      <w:bCs/>
                    </w:rPr>
                  </w:pPr>
                  <w:r w:rsidRPr="0014771B">
                    <w:rPr>
                      <w:rFonts w:ascii="Arial" w:hAnsi="Arial" w:cs="Arial"/>
                      <w:b/>
                      <w:bCs/>
                    </w:rPr>
                    <w:t>Adequacy of Forecasting</w:t>
                  </w:r>
                </w:p>
                <w:p w14:paraId="63341F51" w14:textId="77777777" w:rsidR="00853599" w:rsidRPr="0014771B" w:rsidRDefault="00853599" w:rsidP="003133D5">
                  <w:pPr>
                    <w:jc w:val="both"/>
                    <w:rPr>
                      <w:rFonts w:ascii="Arial" w:hAnsi="Arial" w:cs="Arial"/>
                    </w:rPr>
                  </w:pPr>
                  <w:r w:rsidRPr="0014771B">
                    <w:rPr>
                      <w:rFonts w:ascii="Arial" w:hAnsi="Arial" w:cs="Arial"/>
                    </w:rPr>
                    <w:t>I am satisfied that the forecasting methodology used are adequate in respect of the likely significant effects in relation to Construction and Operational Phase Noise.</w:t>
                  </w:r>
                </w:p>
                <w:p w14:paraId="61A262A8" w14:textId="77777777" w:rsidR="00853599" w:rsidRPr="0014771B" w:rsidRDefault="00853599" w:rsidP="003133D5">
                  <w:pPr>
                    <w:jc w:val="both"/>
                    <w:rPr>
                      <w:rFonts w:ascii="Arial" w:hAnsi="Arial" w:cs="Arial"/>
                    </w:rPr>
                  </w:pPr>
                </w:p>
                <w:p w14:paraId="21405284" w14:textId="2DAFA704" w:rsidR="00853599" w:rsidRPr="0014771B" w:rsidRDefault="00853599" w:rsidP="003133D5">
                  <w:pPr>
                    <w:jc w:val="both"/>
                    <w:rPr>
                      <w:rFonts w:ascii="Arial" w:hAnsi="Arial" w:cs="Arial"/>
                    </w:rPr>
                  </w:pPr>
                  <w:r w:rsidRPr="0014771B">
                    <w:rPr>
                      <w:rFonts w:ascii="Arial" w:hAnsi="Arial" w:cs="Arial"/>
                    </w:rPr>
                    <w:t>I am also satisfied that the screening-out of Vibration impacts is acceptable due to the distance of the nearest receptors based on the guidance provided in BS5228-2.</w:t>
                  </w:r>
                </w:p>
              </w:tc>
            </w:tr>
            <w:tr w:rsidR="00853599" w:rsidRPr="0014771B" w14:paraId="2FAC14A0" w14:textId="77777777" w:rsidTr="00853599">
              <w:tc>
                <w:tcPr>
                  <w:tcW w:w="9221" w:type="dxa"/>
                  <w:gridSpan w:val="2"/>
                  <w:shd w:val="clear" w:color="auto" w:fill="D9D9D9" w:themeFill="background1" w:themeFillShade="D9"/>
                </w:tcPr>
                <w:p w14:paraId="05447E40" w14:textId="46A71214" w:rsidR="00853599" w:rsidRPr="0014771B" w:rsidRDefault="00853599" w:rsidP="003133D5">
                  <w:pPr>
                    <w:jc w:val="center"/>
                    <w:rPr>
                      <w:rFonts w:ascii="Arial" w:hAnsi="Arial" w:cs="Arial"/>
                    </w:rPr>
                  </w:pPr>
                  <w:r w:rsidRPr="0014771B">
                    <w:rPr>
                      <w:rFonts w:ascii="Arial" w:hAnsi="Arial" w:cs="Arial"/>
                      <w:b/>
                      <w:bCs/>
                    </w:rPr>
                    <w:lastRenderedPageBreak/>
                    <w:t>Chapter 12 (Water Environment)</w:t>
                  </w:r>
                </w:p>
              </w:tc>
            </w:tr>
            <w:tr w:rsidR="00853599" w:rsidRPr="0014771B" w14:paraId="4F664D3F" w14:textId="77777777" w:rsidTr="00853599">
              <w:tc>
                <w:tcPr>
                  <w:tcW w:w="5130" w:type="dxa"/>
                </w:tcPr>
                <w:p w14:paraId="248BD054" w14:textId="126D6A00" w:rsidR="00853599" w:rsidRPr="0014771B" w:rsidRDefault="00853599" w:rsidP="003133D5">
                  <w:pPr>
                    <w:jc w:val="both"/>
                    <w:rPr>
                      <w:rFonts w:ascii="Arial" w:hAnsi="Arial" w:cs="Arial"/>
                    </w:rPr>
                  </w:pPr>
                  <w:r w:rsidRPr="0014771B">
                    <w:rPr>
                      <w:rFonts w:ascii="Arial" w:hAnsi="Arial" w:cs="Arial"/>
                      <w:b/>
                      <w:bCs/>
                    </w:rPr>
                    <w:t>Description of Forecasting Method Used</w:t>
                  </w:r>
                </w:p>
              </w:tc>
              <w:tc>
                <w:tcPr>
                  <w:tcW w:w="4091" w:type="dxa"/>
                </w:tcPr>
                <w:p w14:paraId="22C3DF9D" w14:textId="0A884896" w:rsidR="00853599" w:rsidRPr="0014771B" w:rsidRDefault="00853599" w:rsidP="003133D5">
                  <w:pPr>
                    <w:jc w:val="both"/>
                    <w:rPr>
                      <w:rFonts w:ascii="Arial" w:hAnsi="Arial" w:cs="Arial"/>
                    </w:rPr>
                  </w:pPr>
                  <w:r w:rsidRPr="0014771B">
                    <w:rPr>
                      <w:rFonts w:ascii="Arial" w:hAnsi="Arial" w:cs="Arial"/>
                      <w:b/>
                      <w:bCs/>
                    </w:rPr>
                    <w:t>Adequacy/Omissions/Difficulties</w:t>
                  </w:r>
                </w:p>
              </w:tc>
            </w:tr>
            <w:tr w:rsidR="00853599" w:rsidRPr="0014771B" w14:paraId="39AA8001" w14:textId="77777777" w:rsidTr="00853599">
              <w:tc>
                <w:tcPr>
                  <w:tcW w:w="5130" w:type="dxa"/>
                </w:tcPr>
                <w:p w14:paraId="29555A04" w14:textId="77777777" w:rsidR="00853599" w:rsidRPr="0014771B" w:rsidRDefault="00853599" w:rsidP="003133D5">
                  <w:pPr>
                    <w:jc w:val="both"/>
                    <w:rPr>
                      <w:rFonts w:ascii="Arial" w:hAnsi="Arial" w:cs="Arial"/>
                    </w:rPr>
                  </w:pPr>
                  <w:r w:rsidRPr="0014771B">
                    <w:rPr>
                      <w:rFonts w:ascii="Arial" w:hAnsi="Arial" w:cs="Arial"/>
                    </w:rPr>
                    <w:t>A qualitative assessment has been carried out on the Water Environment and no specific Forecasting has been used.</w:t>
                  </w:r>
                </w:p>
                <w:p w14:paraId="4A6B15C8" w14:textId="77777777" w:rsidR="00853599" w:rsidRPr="0014771B" w:rsidRDefault="00853599" w:rsidP="003133D5">
                  <w:pPr>
                    <w:jc w:val="both"/>
                    <w:rPr>
                      <w:rFonts w:ascii="Arial" w:hAnsi="Arial" w:cs="Arial"/>
                    </w:rPr>
                  </w:pPr>
                </w:p>
                <w:p w14:paraId="092F7AB1" w14:textId="77777777" w:rsidR="00853599" w:rsidRPr="0014771B" w:rsidRDefault="00853599" w:rsidP="003133D5">
                  <w:pPr>
                    <w:jc w:val="both"/>
                    <w:rPr>
                      <w:rFonts w:ascii="Arial" w:hAnsi="Arial" w:cs="Arial"/>
                    </w:rPr>
                  </w:pPr>
                  <w:r w:rsidRPr="0014771B">
                    <w:rPr>
                      <w:rFonts w:ascii="Arial" w:hAnsi="Arial" w:cs="Arial"/>
                    </w:rPr>
                    <w:t>A Flood Risk Assessment (Appendix 12A) was prepared for the site using methodology from ‘</w:t>
                  </w:r>
                  <w:r w:rsidRPr="0014771B">
                    <w:rPr>
                      <w:rFonts w:ascii="Arial" w:hAnsi="Arial" w:cs="Arial"/>
                      <w:i/>
                      <w:iCs/>
                    </w:rPr>
                    <w:t>The Planning System and Flood Risk Management – Guidelines for Planning Authorities (DOEHLG 2009)’.</w:t>
                  </w:r>
                </w:p>
                <w:p w14:paraId="7D829464" w14:textId="77777777" w:rsidR="00853599" w:rsidRPr="0014771B" w:rsidRDefault="00853599" w:rsidP="003133D5">
                  <w:pPr>
                    <w:jc w:val="both"/>
                    <w:rPr>
                      <w:rFonts w:ascii="Arial" w:hAnsi="Arial" w:cs="Arial"/>
                    </w:rPr>
                  </w:pPr>
                </w:p>
                <w:p w14:paraId="6A1BFDA2" w14:textId="44F73BAA" w:rsidR="00853599" w:rsidRPr="0014771B" w:rsidRDefault="00853599" w:rsidP="003133D5">
                  <w:pPr>
                    <w:jc w:val="both"/>
                    <w:rPr>
                      <w:rFonts w:ascii="Arial" w:hAnsi="Arial" w:cs="Arial"/>
                    </w:rPr>
                  </w:pPr>
                </w:p>
              </w:tc>
              <w:tc>
                <w:tcPr>
                  <w:tcW w:w="4091" w:type="dxa"/>
                </w:tcPr>
                <w:p w14:paraId="1583B418" w14:textId="77777777" w:rsidR="00853599" w:rsidRPr="0014771B" w:rsidRDefault="00853599" w:rsidP="003133D5">
                  <w:pPr>
                    <w:jc w:val="both"/>
                    <w:rPr>
                      <w:rFonts w:ascii="Arial" w:hAnsi="Arial" w:cs="Arial"/>
                      <w:b/>
                      <w:bCs/>
                    </w:rPr>
                  </w:pPr>
                  <w:r w:rsidRPr="0014771B">
                    <w:rPr>
                      <w:rFonts w:ascii="Arial" w:hAnsi="Arial" w:cs="Arial"/>
                      <w:b/>
                      <w:bCs/>
                    </w:rPr>
                    <w:t>Omissions/Difficulties</w:t>
                  </w:r>
                </w:p>
                <w:p w14:paraId="78A0C89E" w14:textId="77777777" w:rsidR="00853599" w:rsidRPr="0014771B" w:rsidRDefault="00853599" w:rsidP="003133D5">
                  <w:pPr>
                    <w:jc w:val="both"/>
                    <w:rPr>
                      <w:rFonts w:ascii="Arial" w:hAnsi="Arial" w:cs="Arial"/>
                    </w:rPr>
                  </w:pPr>
                  <w:r w:rsidRPr="0014771B">
                    <w:rPr>
                      <w:rFonts w:ascii="Arial" w:hAnsi="Arial" w:cs="Arial"/>
                    </w:rPr>
                    <w:t>Limitations and General Assumptions are described in Section 12.3.9 of the EIAR.  No omissions or difficulties have been noted.</w:t>
                  </w:r>
                </w:p>
                <w:p w14:paraId="4B3D55AD" w14:textId="77777777" w:rsidR="00853599" w:rsidRPr="0014771B" w:rsidRDefault="00853599" w:rsidP="003133D5">
                  <w:pPr>
                    <w:jc w:val="both"/>
                    <w:rPr>
                      <w:rFonts w:ascii="Arial" w:hAnsi="Arial" w:cs="Arial"/>
                    </w:rPr>
                  </w:pPr>
                </w:p>
                <w:p w14:paraId="0B0CA67E" w14:textId="77777777" w:rsidR="00853599" w:rsidRPr="0014771B" w:rsidRDefault="00853599" w:rsidP="003133D5">
                  <w:pPr>
                    <w:jc w:val="both"/>
                    <w:rPr>
                      <w:rFonts w:ascii="Arial" w:hAnsi="Arial" w:cs="Arial"/>
                      <w:b/>
                      <w:bCs/>
                    </w:rPr>
                  </w:pPr>
                  <w:r w:rsidRPr="0014771B">
                    <w:rPr>
                      <w:rFonts w:ascii="Arial" w:hAnsi="Arial" w:cs="Arial"/>
                      <w:b/>
                      <w:bCs/>
                    </w:rPr>
                    <w:t>Adequacy of Forecasting</w:t>
                  </w:r>
                </w:p>
                <w:p w14:paraId="4EDE1A79" w14:textId="7F5BDEAD" w:rsidR="00853599" w:rsidRPr="0014771B" w:rsidRDefault="00853599" w:rsidP="003133D5">
                  <w:pPr>
                    <w:jc w:val="both"/>
                    <w:rPr>
                      <w:rFonts w:ascii="Arial" w:hAnsi="Arial" w:cs="Arial"/>
                    </w:rPr>
                  </w:pPr>
                  <w:r w:rsidRPr="0014771B">
                    <w:rPr>
                      <w:rFonts w:ascii="Arial" w:hAnsi="Arial" w:cs="Arial"/>
                    </w:rPr>
                    <w:t>I am satisfied that the Flood Risk Assessment in Appendix 12 is adequate based on the methodology used by the applicant.  It assesses and describes the likely significant effects in relation to potential flood risk on the site.</w:t>
                  </w:r>
                </w:p>
              </w:tc>
            </w:tr>
            <w:tr w:rsidR="00853599" w:rsidRPr="0014771B" w14:paraId="2026FD8B" w14:textId="77777777" w:rsidTr="00853599">
              <w:tc>
                <w:tcPr>
                  <w:tcW w:w="9221" w:type="dxa"/>
                  <w:gridSpan w:val="2"/>
                  <w:shd w:val="clear" w:color="auto" w:fill="D9D9D9" w:themeFill="background1" w:themeFillShade="D9"/>
                </w:tcPr>
                <w:p w14:paraId="65D464AC" w14:textId="2259EABB" w:rsidR="00853599" w:rsidRPr="0014771B" w:rsidRDefault="00853599" w:rsidP="00F82591">
                  <w:pPr>
                    <w:jc w:val="center"/>
                    <w:rPr>
                      <w:rFonts w:ascii="Arial" w:hAnsi="Arial" w:cs="Arial"/>
                    </w:rPr>
                  </w:pPr>
                  <w:r w:rsidRPr="0014771B">
                    <w:rPr>
                      <w:rFonts w:ascii="Arial" w:hAnsi="Arial" w:cs="Arial"/>
                      <w:b/>
                      <w:bCs/>
                    </w:rPr>
                    <w:t>Chapter 13 (Land and Soils)</w:t>
                  </w:r>
                </w:p>
              </w:tc>
            </w:tr>
            <w:tr w:rsidR="00853599" w:rsidRPr="0014771B" w14:paraId="0F9DCAE2" w14:textId="77777777" w:rsidTr="00853599">
              <w:tc>
                <w:tcPr>
                  <w:tcW w:w="5130" w:type="dxa"/>
                </w:tcPr>
                <w:p w14:paraId="6F99B20E" w14:textId="676E5D21" w:rsidR="00853599" w:rsidRPr="0014771B" w:rsidRDefault="00853599" w:rsidP="00803684">
                  <w:pPr>
                    <w:jc w:val="both"/>
                    <w:rPr>
                      <w:rFonts w:ascii="Arial" w:hAnsi="Arial" w:cs="Arial"/>
                    </w:rPr>
                  </w:pPr>
                  <w:r w:rsidRPr="0014771B">
                    <w:rPr>
                      <w:rFonts w:ascii="Arial" w:hAnsi="Arial" w:cs="Arial"/>
                      <w:b/>
                      <w:bCs/>
                    </w:rPr>
                    <w:t>Description of Forecasting Method Used</w:t>
                  </w:r>
                </w:p>
              </w:tc>
              <w:tc>
                <w:tcPr>
                  <w:tcW w:w="4091" w:type="dxa"/>
                </w:tcPr>
                <w:p w14:paraId="7650AA2F" w14:textId="0FF7A3D1" w:rsidR="00853599" w:rsidRPr="0014771B" w:rsidRDefault="00853599" w:rsidP="00803684">
                  <w:pPr>
                    <w:jc w:val="both"/>
                    <w:rPr>
                      <w:rFonts w:ascii="Arial" w:hAnsi="Arial" w:cs="Arial"/>
                    </w:rPr>
                  </w:pPr>
                  <w:r w:rsidRPr="0014771B">
                    <w:rPr>
                      <w:rFonts w:ascii="Arial" w:hAnsi="Arial" w:cs="Arial"/>
                      <w:b/>
                      <w:bCs/>
                    </w:rPr>
                    <w:t>Adequacy/Omissions/Difficulties</w:t>
                  </w:r>
                </w:p>
              </w:tc>
            </w:tr>
            <w:tr w:rsidR="00853599" w:rsidRPr="0014771B" w14:paraId="7EAE4773" w14:textId="77777777" w:rsidTr="00853599">
              <w:tc>
                <w:tcPr>
                  <w:tcW w:w="5130" w:type="dxa"/>
                </w:tcPr>
                <w:p w14:paraId="0E7EED22" w14:textId="45D043F3" w:rsidR="00853599" w:rsidRPr="0014771B" w:rsidRDefault="00853599" w:rsidP="00803684">
                  <w:pPr>
                    <w:jc w:val="both"/>
                    <w:rPr>
                      <w:rFonts w:ascii="Arial" w:hAnsi="Arial" w:cs="Arial"/>
                    </w:rPr>
                  </w:pPr>
                  <w:r w:rsidRPr="0014771B">
                    <w:rPr>
                      <w:rFonts w:ascii="Arial" w:hAnsi="Arial" w:cs="Arial"/>
                    </w:rPr>
                    <w:lastRenderedPageBreak/>
                    <w:t>No Forecasting carried out for this Chapter</w:t>
                  </w:r>
                </w:p>
              </w:tc>
              <w:tc>
                <w:tcPr>
                  <w:tcW w:w="4091" w:type="dxa"/>
                </w:tcPr>
                <w:p w14:paraId="365BE6B4" w14:textId="61CBAE5F" w:rsidR="00853599" w:rsidRPr="0014771B" w:rsidRDefault="00853599" w:rsidP="00803684">
                  <w:pPr>
                    <w:jc w:val="both"/>
                    <w:rPr>
                      <w:rFonts w:ascii="Arial" w:hAnsi="Arial" w:cs="Arial"/>
                    </w:rPr>
                  </w:pPr>
                  <w:r w:rsidRPr="0014771B">
                    <w:rPr>
                      <w:rFonts w:ascii="Arial" w:hAnsi="Arial" w:cs="Arial"/>
                    </w:rPr>
                    <w:t>N/A</w:t>
                  </w:r>
                </w:p>
              </w:tc>
            </w:tr>
            <w:tr w:rsidR="00853599" w:rsidRPr="0014771B" w14:paraId="591F3BD3" w14:textId="77777777" w:rsidTr="00853599">
              <w:tc>
                <w:tcPr>
                  <w:tcW w:w="5130" w:type="dxa"/>
                </w:tcPr>
                <w:p w14:paraId="70C26F1B" w14:textId="243914F6" w:rsidR="00853599" w:rsidRPr="0014771B" w:rsidRDefault="00853599" w:rsidP="00803684">
                  <w:pPr>
                    <w:jc w:val="both"/>
                    <w:rPr>
                      <w:rFonts w:ascii="Arial" w:hAnsi="Arial" w:cs="Arial"/>
                    </w:rPr>
                  </w:pPr>
                </w:p>
              </w:tc>
              <w:tc>
                <w:tcPr>
                  <w:tcW w:w="4091" w:type="dxa"/>
                </w:tcPr>
                <w:p w14:paraId="6E2D40E3" w14:textId="2A536EB9" w:rsidR="00853599" w:rsidRPr="0014771B" w:rsidRDefault="00853599" w:rsidP="00803684">
                  <w:pPr>
                    <w:jc w:val="both"/>
                    <w:rPr>
                      <w:rFonts w:ascii="Arial" w:hAnsi="Arial" w:cs="Arial"/>
                    </w:rPr>
                  </w:pPr>
                </w:p>
              </w:tc>
            </w:tr>
            <w:tr w:rsidR="00853599" w:rsidRPr="0014771B" w14:paraId="3DD2A0A8" w14:textId="7648CB53" w:rsidTr="00853599">
              <w:tc>
                <w:tcPr>
                  <w:tcW w:w="9221" w:type="dxa"/>
                  <w:gridSpan w:val="2"/>
                  <w:shd w:val="clear" w:color="auto" w:fill="D9D9D9" w:themeFill="background1" w:themeFillShade="D9"/>
                </w:tcPr>
                <w:p w14:paraId="4D8D390E" w14:textId="602E01EF" w:rsidR="00853599" w:rsidRPr="0014771B" w:rsidRDefault="00853599" w:rsidP="00803684">
                  <w:pPr>
                    <w:jc w:val="center"/>
                    <w:rPr>
                      <w:rFonts w:ascii="Arial" w:hAnsi="Arial" w:cs="Arial"/>
                    </w:rPr>
                  </w:pPr>
                  <w:r w:rsidRPr="0014771B">
                    <w:rPr>
                      <w:rFonts w:ascii="Arial" w:hAnsi="Arial" w:cs="Arial"/>
                      <w:b/>
                      <w:bCs/>
                    </w:rPr>
                    <w:t>Chapter 14 (Traffic and Transport)</w:t>
                  </w:r>
                </w:p>
              </w:tc>
            </w:tr>
            <w:tr w:rsidR="00853599" w:rsidRPr="0014771B" w14:paraId="03290579" w14:textId="77777777" w:rsidTr="00853599">
              <w:tc>
                <w:tcPr>
                  <w:tcW w:w="5130" w:type="dxa"/>
                </w:tcPr>
                <w:p w14:paraId="22B33F5E" w14:textId="54543DBA" w:rsidR="00853599" w:rsidRPr="0014771B" w:rsidRDefault="00853599" w:rsidP="00F36C0E">
                  <w:pPr>
                    <w:jc w:val="both"/>
                    <w:rPr>
                      <w:rFonts w:ascii="Arial" w:hAnsi="Arial" w:cs="Arial"/>
                      <w:b/>
                      <w:bCs/>
                    </w:rPr>
                  </w:pPr>
                  <w:r w:rsidRPr="0014771B">
                    <w:rPr>
                      <w:rFonts w:ascii="Arial" w:hAnsi="Arial" w:cs="Arial"/>
                      <w:b/>
                      <w:bCs/>
                    </w:rPr>
                    <w:t>Description of Forecasting Method Used</w:t>
                  </w:r>
                </w:p>
              </w:tc>
              <w:tc>
                <w:tcPr>
                  <w:tcW w:w="4091" w:type="dxa"/>
                </w:tcPr>
                <w:p w14:paraId="5192ADF9" w14:textId="3ED0FB36" w:rsidR="00853599" w:rsidRPr="0014771B" w:rsidRDefault="00853599" w:rsidP="00F36C0E">
                  <w:pPr>
                    <w:jc w:val="both"/>
                    <w:rPr>
                      <w:rFonts w:ascii="Arial" w:hAnsi="Arial" w:cs="Arial"/>
                      <w:b/>
                      <w:bCs/>
                    </w:rPr>
                  </w:pPr>
                  <w:r w:rsidRPr="0014771B">
                    <w:rPr>
                      <w:rFonts w:ascii="Arial" w:hAnsi="Arial" w:cs="Arial"/>
                      <w:b/>
                      <w:bCs/>
                    </w:rPr>
                    <w:t>Adequacy/Omissions/Difficulties</w:t>
                  </w:r>
                </w:p>
              </w:tc>
            </w:tr>
            <w:tr w:rsidR="00853599" w:rsidRPr="0014771B" w14:paraId="6A0C9FA9" w14:textId="77777777" w:rsidTr="00853599">
              <w:tc>
                <w:tcPr>
                  <w:tcW w:w="5130" w:type="dxa"/>
                </w:tcPr>
                <w:p w14:paraId="236EDFC3" w14:textId="77777777" w:rsidR="00853599" w:rsidRPr="0014771B" w:rsidRDefault="00853599" w:rsidP="00F36C0E">
                  <w:pPr>
                    <w:jc w:val="both"/>
                    <w:rPr>
                      <w:rFonts w:ascii="Arial" w:hAnsi="Arial" w:cs="Arial"/>
                      <w:b/>
                      <w:bCs/>
                    </w:rPr>
                  </w:pPr>
                  <w:r w:rsidRPr="0014771B">
                    <w:rPr>
                      <w:rFonts w:ascii="Arial" w:hAnsi="Arial" w:cs="Arial"/>
                      <w:b/>
                      <w:bCs/>
                    </w:rPr>
                    <w:t>Construction Phase</w:t>
                  </w:r>
                </w:p>
                <w:p w14:paraId="6F8B124E" w14:textId="77777777" w:rsidR="00853599" w:rsidRPr="0014771B" w:rsidRDefault="00853599" w:rsidP="00F36C0E">
                  <w:pPr>
                    <w:jc w:val="both"/>
                    <w:rPr>
                      <w:rFonts w:ascii="Arial" w:hAnsi="Arial" w:cs="Arial"/>
                    </w:rPr>
                  </w:pPr>
                  <w:r w:rsidRPr="0014771B">
                    <w:rPr>
                      <w:rFonts w:ascii="Arial" w:hAnsi="Arial" w:cs="Arial"/>
                    </w:rPr>
                    <w:t>TII Project Appraisal Guidelines for National Roads Unit 5.3 – Travel demand Projections, 2017, was used.  The background traffic is expected to increase by 1.0337% between 2023 and 2026 and by 1.1970% between 2023 and 2041.</w:t>
                  </w:r>
                </w:p>
                <w:p w14:paraId="14741BBA" w14:textId="454A2BB4" w:rsidR="00853599" w:rsidRPr="0014771B" w:rsidRDefault="00853599" w:rsidP="00F36C0E">
                  <w:pPr>
                    <w:jc w:val="both"/>
                    <w:rPr>
                      <w:rFonts w:ascii="Arial" w:hAnsi="Arial" w:cs="Arial"/>
                    </w:rPr>
                  </w:pPr>
                  <w:r w:rsidRPr="0014771B">
                    <w:rPr>
                      <w:rFonts w:ascii="Arial" w:hAnsi="Arial" w:cs="Arial"/>
                    </w:rPr>
                    <w:t>Impact calculations based on 2026 background traffic flows, and 2025/2026 peak construction phase traffic.</w:t>
                  </w:r>
                </w:p>
              </w:tc>
              <w:tc>
                <w:tcPr>
                  <w:tcW w:w="4091" w:type="dxa"/>
                </w:tcPr>
                <w:p w14:paraId="497B6B7C" w14:textId="77777777" w:rsidR="00853599" w:rsidRPr="0014771B" w:rsidRDefault="00853599" w:rsidP="00F36C0E">
                  <w:pPr>
                    <w:jc w:val="both"/>
                    <w:rPr>
                      <w:rFonts w:ascii="Arial" w:hAnsi="Arial" w:cs="Arial"/>
                      <w:b/>
                      <w:bCs/>
                    </w:rPr>
                  </w:pPr>
                  <w:r w:rsidRPr="0014771B">
                    <w:rPr>
                      <w:rFonts w:ascii="Arial" w:hAnsi="Arial" w:cs="Arial"/>
                      <w:b/>
                      <w:bCs/>
                    </w:rPr>
                    <w:t>Adequacy of Forecasting</w:t>
                  </w:r>
                </w:p>
                <w:p w14:paraId="1ED75EBF" w14:textId="77777777" w:rsidR="00853599" w:rsidRPr="0014771B" w:rsidRDefault="00853599" w:rsidP="00F36C0E">
                  <w:pPr>
                    <w:jc w:val="both"/>
                    <w:rPr>
                      <w:rFonts w:ascii="Arial" w:hAnsi="Arial" w:cs="Arial"/>
                    </w:rPr>
                  </w:pPr>
                  <w:r w:rsidRPr="0014771B">
                    <w:rPr>
                      <w:rFonts w:ascii="Arial" w:hAnsi="Arial" w:cs="Arial"/>
                    </w:rPr>
                    <w:t xml:space="preserve">The percentage impact is based on predicted peak construction traffic.  I am satisfied that Traffic Forecasting is adequate based on the TII methodology used by the applicant.  </w:t>
                  </w:r>
                </w:p>
                <w:p w14:paraId="475A920A" w14:textId="77777777" w:rsidR="00853599" w:rsidRDefault="00853599" w:rsidP="00F36C0E">
                  <w:pPr>
                    <w:jc w:val="both"/>
                    <w:rPr>
                      <w:rFonts w:ascii="Arial" w:hAnsi="Arial" w:cs="Arial"/>
                    </w:rPr>
                  </w:pPr>
                </w:p>
                <w:p w14:paraId="320E6482" w14:textId="77777777" w:rsidR="00853599" w:rsidRPr="0014771B" w:rsidRDefault="00853599" w:rsidP="00F36C0E">
                  <w:pPr>
                    <w:jc w:val="both"/>
                    <w:rPr>
                      <w:rFonts w:ascii="Arial" w:hAnsi="Arial" w:cs="Arial"/>
                    </w:rPr>
                  </w:pPr>
                </w:p>
                <w:p w14:paraId="78A15C80" w14:textId="77777777" w:rsidR="00853599" w:rsidRPr="0014771B" w:rsidRDefault="00853599" w:rsidP="00F36C0E">
                  <w:pPr>
                    <w:jc w:val="both"/>
                    <w:rPr>
                      <w:rFonts w:ascii="Arial" w:hAnsi="Arial" w:cs="Arial"/>
                      <w:b/>
                      <w:bCs/>
                    </w:rPr>
                  </w:pPr>
                  <w:r w:rsidRPr="0014771B">
                    <w:rPr>
                      <w:rFonts w:ascii="Arial" w:hAnsi="Arial" w:cs="Arial"/>
                      <w:b/>
                      <w:bCs/>
                    </w:rPr>
                    <w:t>Omissions/Difficulties</w:t>
                  </w:r>
                </w:p>
                <w:p w14:paraId="45585DA0" w14:textId="616696A8" w:rsidR="00853599" w:rsidRPr="0014771B" w:rsidRDefault="00853599" w:rsidP="00F36C0E">
                  <w:pPr>
                    <w:jc w:val="both"/>
                    <w:rPr>
                      <w:rFonts w:ascii="Arial" w:hAnsi="Arial" w:cs="Arial"/>
                    </w:rPr>
                  </w:pPr>
                  <w:r w:rsidRPr="0014771B">
                    <w:rPr>
                      <w:rFonts w:ascii="Arial" w:hAnsi="Arial" w:cs="Arial"/>
                    </w:rPr>
                    <w:t>None noted.</w:t>
                  </w:r>
                </w:p>
              </w:tc>
            </w:tr>
            <w:tr w:rsidR="00853599" w:rsidRPr="0014771B" w14:paraId="6899914E" w14:textId="3D0F71FA" w:rsidTr="00853599">
              <w:tc>
                <w:tcPr>
                  <w:tcW w:w="9221" w:type="dxa"/>
                  <w:gridSpan w:val="2"/>
                  <w:shd w:val="clear" w:color="auto" w:fill="D9D9D9" w:themeFill="background1" w:themeFillShade="D9"/>
                </w:tcPr>
                <w:p w14:paraId="551A2F68" w14:textId="04718EB6" w:rsidR="00853599" w:rsidRPr="0014771B" w:rsidRDefault="00853599" w:rsidP="00F36C0E">
                  <w:pPr>
                    <w:jc w:val="center"/>
                    <w:rPr>
                      <w:rFonts w:ascii="Arial" w:hAnsi="Arial" w:cs="Arial"/>
                    </w:rPr>
                  </w:pPr>
                  <w:r w:rsidRPr="0014771B">
                    <w:rPr>
                      <w:rFonts w:ascii="Arial" w:hAnsi="Arial" w:cs="Arial"/>
                      <w:b/>
                      <w:bCs/>
                    </w:rPr>
                    <w:t>Chapter 15 (Population and Human Health)</w:t>
                  </w:r>
                </w:p>
              </w:tc>
            </w:tr>
            <w:tr w:rsidR="00853599" w:rsidRPr="0014771B" w14:paraId="573A46C5" w14:textId="77777777" w:rsidTr="00853599">
              <w:tc>
                <w:tcPr>
                  <w:tcW w:w="5130" w:type="dxa"/>
                </w:tcPr>
                <w:p w14:paraId="75FD4997" w14:textId="13BF32B2" w:rsidR="00853599" w:rsidRPr="0014771B" w:rsidRDefault="00853599" w:rsidP="00F36C0E">
                  <w:pPr>
                    <w:jc w:val="both"/>
                    <w:rPr>
                      <w:rFonts w:ascii="Arial" w:hAnsi="Arial" w:cs="Arial"/>
                    </w:rPr>
                  </w:pPr>
                  <w:r w:rsidRPr="0014771B">
                    <w:rPr>
                      <w:rFonts w:ascii="Arial" w:hAnsi="Arial" w:cs="Arial"/>
                      <w:b/>
                      <w:bCs/>
                    </w:rPr>
                    <w:t>Description of Forecasting Method Used</w:t>
                  </w:r>
                </w:p>
              </w:tc>
              <w:tc>
                <w:tcPr>
                  <w:tcW w:w="4091" w:type="dxa"/>
                </w:tcPr>
                <w:p w14:paraId="10FD0F22" w14:textId="29089D06" w:rsidR="00853599" w:rsidRPr="0014771B" w:rsidRDefault="00853599" w:rsidP="00F36C0E">
                  <w:pPr>
                    <w:jc w:val="both"/>
                    <w:rPr>
                      <w:rFonts w:ascii="Arial" w:hAnsi="Arial" w:cs="Arial"/>
                      <w:b/>
                      <w:bCs/>
                    </w:rPr>
                  </w:pPr>
                  <w:r w:rsidRPr="0014771B">
                    <w:rPr>
                      <w:rFonts w:ascii="Arial" w:hAnsi="Arial" w:cs="Arial"/>
                      <w:b/>
                      <w:bCs/>
                    </w:rPr>
                    <w:t>Adequacy/Omissions/Difficulties</w:t>
                  </w:r>
                </w:p>
              </w:tc>
            </w:tr>
            <w:tr w:rsidR="00853599" w:rsidRPr="0014771B" w14:paraId="66C3DCCF" w14:textId="77777777" w:rsidTr="00853599">
              <w:tc>
                <w:tcPr>
                  <w:tcW w:w="5130" w:type="dxa"/>
                </w:tcPr>
                <w:p w14:paraId="7E252377" w14:textId="164D2A67" w:rsidR="00853599" w:rsidRPr="0014771B" w:rsidRDefault="00853599" w:rsidP="00F36C0E">
                  <w:pPr>
                    <w:jc w:val="both"/>
                    <w:rPr>
                      <w:rFonts w:ascii="Arial" w:hAnsi="Arial" w:cs="Arial"/>
                    </w:rPr>
                  </w:pPr>
                  <w:r w:rsidRPr="0014771B">
                    <w:rPr>
                      <w:rFonts w:ascii="Arial" w:hAnsi="Arial" w:cs="Arial"/>
                    </w:rPr>
                    <w:t>The human health impact assessment (HIA) relies on the assessments and draws on the findings of the following chapters to assess the impacts on human health: Chapter 7 (Air Quality), Chapter 10 (Landscape and Visual), Chapter 11 (Noise and Vibration), Chapter 14 (Traffic and Transport) and Chapter 17 (Climate).</w:t>
                  </w:r>
                </w:p>
                <w:p w14:paraId="71CE82B0" w14:textId="77777777" w:rsidR="00853599" w:rsidRPr="0014771B" w:rsidRDefault="00853599" w:rsidP="00F36C0E">
                  <w:pPr>
                    <w:jc w:val="both"/>
                    <w:rPr>
                      <w:rFonts w:ascii="Arial" w:hAnsi="Arial" w:cs="Arial"/>
                    </w:rPr>
                  </w:pPr>
                </w:p>
                <w:p w14:paraId="1A78A0E3" w14:textId="77777777" w:rsidR="00853599" w:rsidRPr="0014771B" w:rsidRDefault="00853599" w:rsidP="00F36C0E">
                  <w:pPr>
                    <w:jc w:val="both"/>
                    <w:rPr>
                      <w:rFonts w:ascii="Arial" w:hAnsi="Arial" w:cs="Arial"/>
                    </w:rPr>
                  </w:pPr>
                  <w:r w:rsidRPr="0014771B">
                    <w:rPr>
                      <w:rFonts w:ascii="Arial" w:hAnsi="Arial" w:cs="Arial"/>
                    </w:rPr>
                    <w:t>NHS London Healthy Urban Development Unit (2019). HUDU Planning for Health: Rapid Health Impact Assessment Tool, NHS methodology was used to assess impacts on human health.</w:t>
                  </w:r>
                </w:p>
                <w:p w14:paraId="20C0DD30" w14:textId="77777777" w:rsidR="00853599" w:rsidRPr="0014771B" w:rsidRDefault="00853599" w:rsidP="00F36C0E">
                  <w:pPr>
                    <w:jc w:val="both"/>
                    <w:rPr>
                      <w:rFonts w:ascii="Arial" w:hAnsi="Arial" w:cs="Arial"/>
                    </w:rPr>
                  </w:pPr>
                </w:p>
                <w:p w14:paraId="02041FAB" w14:textId="090EBF84" w:rsidR="00853599" w:rsidRPr="0014771B" w:rsidRDefault="00853599" w:rsidP="00F36C0E">
                  <w:pPr>
                    <w:jc w:val="both"/>
                    <w:rPr>
                      <w:rFonts w:ascii="Arial" w:hAnsi="Arial" w:cs="Arial"/>
                    </w:rPr>
                  </w:pPr>
                  <w:r w:rsidRPr="0014771B">
                    <w:rPr>
                      <w:rFonts w:ascii="Arial" w:hAnsi="Arial" w:cs="Arial"/>
                    </w:rPr>
                    <w:t>Homes and Communities Agency (HCA) (2014). Additionality Guide: A Standard Approach to Assessing the Additional Effect of Projects: 4th Edition methodology was used to forecast employment figures.</w:t>
                  </w:r>
                </w:p>
              </w:tc>
              <w:tc>
                <w:tcPr>
                  <w:tcW w:w="4091" w:type="dxa"/>
                </w:tcPr>
                <w:p w14:paraId="5126A980" w14:textId="77777777" w:rsidR="00853599" w:rsidRPr="0014771B" w:rsidRDefault="00853599" w:rsidP="00F36C0E">
                  <w:pPr>
                    <w:jc w:val="both"/>
                    <w:rPr>
                      <w:rFonts w:ascii="Arial" w:hAnsi="Arial" w:cs="Arial"/>
                      <w:b/>
                      <w:bCs/>
                    </w:rPr>
                  </w:pPr>
                  <w:r w:rsidRPr="0014771B">
                    <w:rPr>
                      <w:rFonts w:ascii="Arial" w:hAnsi="Arial" w:cs="Arial"/>
                      <w:b/>
                      <w:bCs/>
                    </w:rPr>
                    <w:t>Omissions/Difficulties</w:t>
                  </w:r>
                </w:p>
                <w:p w14:paraId="53417548" w14:textId="77777777" w:rsidR="00853599" w:rsidRPr="0014771B" w:rsidRDefault="00853599" w:rsidP="00F36C0E">
                  <w:pPr>
                    <w:jc w:val="both"/>
                    <w:rPr>
                      <w:rFonts w:ascii="Arial" w:hAnsi="Arial" w:cs="Arial"/>
                    </w:rPr>
                  </w:pPr>
                  <w:r w:rsidRPr="0014771B">
                    <w:rPr>
                      <w:rFonts w:ascii="Arial" w:hAnsi="Arial" w:cs="Arial"/>
                    </w:rPr>
                    <w:t>None noted.</w:t>
                  </w:r>
                </w:p>
                <w:p w14:paraId="113D2692" w14:textId="77777777" w:rsidR="00853599" w:rsidRPr="0014771B" w:rsidRDefault="00853599" w:rsidP="00F36C0E">
                  <w:pPr>
                    <w:jc w:val="both"/>
                    <w:rPr>
                      <w:rFonts w:ascii="Arial" w:hAnsi="Arial" w:cs="Arial"/>
                    </w:rPr>
                  </w:pPr>
                </w:p>
                <w:p w14:paraId="71FD7997" w14:textId="77777777" w:rsidR="00853599" w:rsidRPr="0014771B" w:rsidRDefault="00853599" w:rsidP="00F36C0E">
                  <w:pPr>
                    <w:jc w:val="both"/>
                    <w:rPr>
                      <w:rFonts w:ascii="Arial" w:hAnsi="Arial" w:cs="Arial"/>
                      <w:b/>
                      <w:bCs/>
                    </w:rPr>
                  </w:pPr>
                  <w:r w:rsidRPr="0014771B">
                    <w:rPr>
                      <w:rFonts w:ascii="Arial" w:hAnsi="Arial" w:cs="Arial"/>
                      <w:b/>
                      <w:bCs/>
                    </w:rPr>
                    <w:t>Adequacy of Forecasting</w:t>
                  </w:r>
                </w:p>
                <w:p w14:paraId="242E8BCB" w14:textId="3CE57C8F" w:rsidR="00853599" w:rsidRPr="0014771B" w:rsidRDefault="00853599" w:rsidP="00F36C0E">
                  <w:pPr>
                    <w:jc w:val="both"/>
                    <w:rPr>
                      <w:rFonts w:ascii="Arial" w:hAnsi="Arial" w:cs="Arial"/>
                    </w:rPr>
                  </w:pPr>
                  <w:r w:rsidRPr="0014771B">
                    <w:rPr>
                      <w:rFonts w:ascii="Arial" w:hAnsi="Arial" w:cs="Arial"/>
                    </w:rPr>
                    <w:t>I have reviewed the adequacy of forecasting of individual Chapters which feed into the Population and Human Health Chapter as outlined above, and in the column opposite and will not repeat the detail here.</w:t>
                  </w:r>
                </w:p>
                <w:p w14:paraId="05FA57E5" w14:textId="77777777" w:rsidR="00853599" w:rsidRPr="0014771B" w:rsidRDefault="00853599" w:rsidP="00F36C0E">
                  <w:pPr>
                    <w:jc w:val="both"/>
                    <w:rPr>
                      <w:rFonts w:ascii="Arial" w:hAnsi="Arial" w:cs="Arial"/>
                    </w:rPr>
                  </w:pPr>
                </w:p>
                <w:p w14:paraId="733F8450" w14:textId="5DC44BEF" w:rsidR="00853599" w:rsidRPr="0014771B" w:rsidRDefault="00853599" w:rsidP="00F36C0E">
                  <w:pPr>
                    <w:jc w:val="both"/>
                    <w:rPr>
                      <w:rFonts w:ascii="Arial" w:hAnsi="Arial" w:cs="Arial"/>
                    </w:rPr>
                  </w:pPr>
                  <w:r w:rsidRPr="0014771B">
                    <w:rPr>
                      <w:rFonts w:ascii="Arial" w:hAnsi="Arial" w:cs="Arial"/>
                    </w:rPr>
                    <w:t>I am satisfied that the Forecasting carried out is adequate.</w:t>
                  </w:r>
                </w:p>
              </w:tc>
            </w:tr>
            <w:tr w:rsidR="00853599" w:rsidRPr="0014771B" w14:paraId="3E5AEBCB" w14:textId="77777777" w:rsidTr="00853599">
              <w:tc>
                <w:tcPr>
                  <w:tcW w:w="9221" w:type="dxa"/>
                  <w:gridSpan w:val="2"/>
                  <w:shd w:val="clear" w:color="auto" w:fill="D9D9D9" w:themeFill="background1" w:themeFillShade="D9"/>
                </w:tcPr>
                <w:p w14:paraId="47D12A92" w14:textId="67EE66E7" w:rsidR="00853599" w:rsidRPr="0014771B" w:rsidRDefault="00853599" w:rsidP="00B85FA0">
                  <w:pPr>
                    <w:jc w:val="center"/>
                    <w:rPr>
                      <w:rFonts w:ascii="Arial" w:hAnsi="Arial" w:cs="Arial"/>
                    </w:rPr>
                  </w:pPr>
                  <w:r w:rsidRPr="0014771B">
                    <w:rPr>
                      <w:rFonts w:ascii="Arial" w:hAnsi="Arial" w:cs="Arial"/>
                      <w:b/>
                      <w:bCs/>
                    </w:rPr>
                    <w:t>Chapter 16 (Material Assets)</w:t>
                  </w:r>
                </w:p>
              </w:tc>
            </w:tr>
            <w:tr w:rsidR="00853599" w:rsidRPr="0014771B" w14:paraId="7027B6A2" w14:textId="77777777" w:rsidTr="00853599">
              <w:tc>
                <w:tcPr>
                  <w:tcW w:w="5130" w:type="dxa"/>
                </w:tcPr>
                <w:p w14:paraId="2CFF85C4" w14:textId="7853C8E2" w:rsidR="00853599" w:rsidRPr="0014771B" w:rsidRDefault="00853599" w:rsidP="00B85FA0">
                  <w:pPr>
                    <w:jc w:val="both"/>
                    <w:rPr>
                      <w:rFonts w:ascii="Arial" w:hAnsi="Arial" w:cs="Arial"/>
                    </w:rPr>
                  </w:pPr>
                  <w:r w:rsidRPr="0014771B">
                    <w:rPr>
                      <w:rFonts w:ascii="Arial" w:hAnsi="Arial" w:cs="Arial"/>
                      <w:b/>
                      <w:bCs/>
                    </w:rPr>
                    <w:t>Description of Forecasting Method Used</w:t>
                  </w:r>
                </w:p>
              </w:tc>
              <w:tc>
                <w:tcPr>
                  <w:tcW w:w="4091" w:type="dxa"/>
                </w:tcPr>
                <w:p w14:paraId="61BB7942" w14:textId="414E7E49" w:rsidR="00853599" w:rsidRPr="0014771B" w:rsidRDefault="00853599" w:rsidP="00B85FA0">
                  <w:pPr>
                    <w:jc w:val="both"/>
                    <w:rPr>
                      <w:rFonts w:ascii="Arial" w:hAnsi="Arial" w:cs="Arial"/>
                    </w:rPr>
                  </w:pPr>
                  <w:r w:rsidRPr="0014771B">
                    <w:rPr>
                      <w:rFonts w:ascii="Arial" w:hAnsi="Arial" w:cs="Arial"/>
                      <w:b/>
                      <w:bCs/>
                    </w:rPr>
                    <w:t>Adequacy/Omissions/Difficulties</w:t>
                  </w:r>
                </w:p>
              </w:tc>
            </w:tr>
            <w:tr w:rsidR="00853599" w:rsidRPr="0014771B" w14:paraId="755768A9" w14:textId="77777777" w:rsidTr="00853599">
              <w:tc>
                <w:tcPr>
                  <w:tcW w:w="5130" w:type="dxa"/>
                </w:tcPr>
                <w:p w14:paraId="4EA669E6" w14:textId="7B4F9DD8" w:rsidR="00853599" w:rsidRPr="0014771B" w:rsidRDefault="00853599" w:rsidP="00B85FA0">
                  <w:pPr>
                    <w:jc w:val="both"/>
                    <w:rPr>
                      <w:rFonts w:ascii="Arial" w:hAnsi="Arial" w:cs="Arial"/>
                    </w:rPr>
                  </w:pPr>
                  <w:r w:rsidRPr="0014771B">
                    <w:rPr>
                      <w:rFonts w:ascii="Arial" w:hAnsi="Arial" w:cs="Arial"/>
                    </w:rPr>
                    <w:t>No Forecasting carried out for this Chapter</w:t>
                  </w:r>
                </w:p>
              </w:tc>
              <w:tc>
                <w:tcPr>
                  <w:tcW w:w="4091" w:type="dxa"/>
                </w:tcPr>
                <w:p w14:paraId="61397C03" w14:textId="386753D1" w:rsidR="00853599" w:rsidRPr="0014771B" w:rsidRDefault="00853599" w:rsidP="00B85FA0">
                  <w:pPr>
                    <w:jc w:val="both"/>
                    <w:rPr>
                      <w:rFonts w:ascii="Arial" w:hAnsi="Arial" w:cs="Arial"/>
                    </w:rPr>
                  </w:pPr>
                  <w:r w:rsidRPr="0014771B">
                    <w:rPr>
                      <w:rFonts w:ascii="Arial" w:hAnsi="Arial" w:cs="Arial"/>
                    </w:rPr>
                    <w:t>N/A</w:t>
                  </w:r>
                </w:p>
              </w:tc>
            </w:tr>
            <w:tr w:rsidR="00853599" w:rsidRPr="0014771B" w14:paraId="682EF3B1" w14:textId="77777777" w:rsidTr="00853599">
              <w:tc>
                <w:tcPr>
                  <w:tcW w:w="5130" w:type="dxa"/>
                </w:tcPr>
                <w:p w14:paraId="071FB2D5" w14:textId="77777777" w:rsidR="00853599" w:rsidRPr="0014771B" w:rsidRDefault="00853599" w:rsidP="00B85FA0">
                  <w:pPr>
                    <w:jc w:val="both"/>
                    <w:rPr>
                      <w:rFonts w:ascii="Arial" w:hAnsi="Arial" w:cs="Arial"/>
                    </w:rPr>
                  </w:pPr>
                </w:p>
              </w:tc>
              <w:tc>
                <w:tcPr>
                  <w:tcW w:w="4091" w:type="dxa"/>
                </w:tcPr>
                <w:p w14:paraId="661C567D" w14:textId="77777777" w:rsidR="00853599" w:rsidRPr="0014771B" w:rsidRDefault="00853599" w:rsidP="00B85FA0">
                  <w:pPr>
                    <w:jc w:val="both"/>
                    <w:rPr>
                      <w:rFonts w:ascii="Arial" w:hAnsi="Arial" w:cs="Arial"/>
                    </w:rPr>
                  </w:pPr>
                </w:p>
              </w:tc>
            </w:tr>
            <w:tr w:rsidR="00853599" w:rsidRPr="0014771B" w14:paraId="7A9DC444" w14:textId="77777777" w:rsidTr="00853599">
              <w:tc>
                <w:tcPr>
                  <w:tcW w:w="9221" w:type="dxa"/>
                  <w:gridSpan w:val="2"/>
                  <w:shd w:val="clear" w:color="auto" w:fill="D9D9D9" w:themeFill="background1" w:themeFillShade="D9"/>
                </w:tcPr>
                <w:p w14:paraId="6972F7EA" w14:textId="3EA9F7AC" w:rsidR="00853599" w:rsidRPr="0014771B" w:rsidRDefault="00853599" w:rsidP="00B85FA0">
                  <w:pPr>
                    <w:jc w:val="center"/>
                    <w:rPr>
                      <w:rFonts w:ascii="Arial" w:hAnsi="Arial" w:cs="Arial"/>
                    </w:rPr>
                  </w:pPr>
                  <w:r w:rsidRPr="0014771B">
                    <w:rPr>
                      <w:rFonts w:ascii="Arial" w:hAnsi="Arial" w:cs="Arial"/>
                      <w:b/>
                      <w:bCs/>
                    </w:rPr>
                    <w:t>Chapter 17 (Climate)</w:t>
                  </w:r>
                </w:p>
              </w:tc>
            </w:tr>
            <w:tr w:rsidR="00853599" w:rsidRPr="0014771B" w14:paraId="3AA6E8AA" w14:textId="77777777" w:rsidTr="00853599">
              <w:tc>
                <w:tcPr>
                  <w:tcW w:w="5130" w:type="dxa"/>
                </w:tcPr>
                <w:p w14:paraId="568082CD" w14:textId="57FA538A" w:rsidR="00853599" w:rsidRPr="0014771B" w:rsidRDefault="00853599" w:rsidP="00B85FA0">
                  <w:pPr>
                    <w:jc w:val="both"/>
                    <w:rPr>
                      <w:rFonts w:ascii="Arial" w:hAnsi="Arial" w:cs="Arial"/>
                    </w:rPr>
                  </w:pPr>
                  <w:r w:rsidRPr="0014771B">
                    <w:rPr>
                      <w:rFonts w:ascii="Arial" w:hAnsi="Arial" w:cs="Arial"/>
                      <w:b/>
                      <w:bCs/>
                    </w:rPr>
                    <w:t>Description of Forecasting Method Used</w:t>
                  </w:r>
                </w:p>
              </w:tc>
              <w:tc>
                <w:tcPr>
                  <w:tcW w:w="4091" w:type="dxa"/>
                </w:tcPr>
                <w:p w14:paraId="1B26CD83" w14:textId="3963CCF2" w:rsidR="00853599" w:rsidRPr="0014771B" w:rsidRDefault="00853599" w:rsidP="00B85FA0">
                  <w:pPr>
                    <w:jc w:val="both"/>
                    <w:rPr>
                      <w:rFonts w:ascii="Arial" w:hAnsi="Arial" w:cs="Arial"/>
                    </w:rPr>
                  </w:pPr>
                  <w:r w:rsidRPr="0014771B">
                    <w:rPr>
                      <w:rFonts w:ascii="Arial" w:hAnsi="Arial" w:cs="Arial"/>
                      <w:b/>
                      <w:bCs/>
                    </w:rPr>
                    <w:t>Adequacy/Omissions/Difficulties</w:t>
                  </w:r>
                </w:p>
              </w:tc>
            </w:tr>
            <w:tr w:rsidR="00853599" w:rsidRPr="0014771B" w14:paraId="7EE597DF" w14:textId="77777777" w:rsidTr="00853599">
              <w:tc>
                <w:tcPr>
                  <w:tcW w:w="5130" w:type="dxa"/>
                </w:tcPr>
                <w:p w14:paraId="531FBBAE" w14:textId="0F30A298" w:rsidR="00853599" w:rsidRPr="0014771B" w:rsidRDefault="00853599" w:rsidP="00B85FA0">
                  <w:pPr>
                    <w:jc w:val="both"/>
                    <w:rPr>
                      <w:rFonts w:ascii="Arial" w:hAnsi="Arial" w:cs="Arial"/>
                      <w:b/>
                      <w:bCs/>
                    </w:rPr>
                  </w:pPr>
                  <w:r w:rsidRPr="0014771B">
                    <w:rPr>
                      <w:rFonts w:ascii="Arial" w:hAnsi="Arial" w:cs="Arial"/>
                      <w:b/>
                      <w:bCs/>
                    </w:rPr>
                    <w:t>Climate Change Projection Data</w:t>
                  </w:r>
                </w:p>
                <w:p w14:paraId="71095EA4" w14:textId="7E6B5BB0" w:rsidR="00853599" w:rsidRPr="0014771B" w:rsidRDefault="00853599" w:rsidP="00B85FA0">
                  <w:pPr>
                    <w:jc w:val="both"/>
                    <w:rPr>
                      <w:rFonts w:ascii="Arial" w:hAnsi="Arial" w:cs="Arial"/>
                    </w:rPr>
                  </w:pPr>
                  <w:r w:rsidRPr="0014771B">
                    <w:rPr>
                      <w:rFonts w:ascii="Arial" w:hAnsi="Arial" w:cs="Arial"/>
                    </w:rPr>
                    <w:t xml:space="preserve">Two climate change scenarios were provided in the EIAR as </w:t>
                  </w:r>
                  <w:proofErr w:type="gramStart"/>
                  <w:r w:rsidRPr="0014771B">
                    <w:rPr>
                      <w:rFonts w:ascii="Arial" w:hAnsi="Arial" w:cs="Arial"/>
                    </w:rPr>
                    <w:t>follows;</w:t>
                  </w:r>
                  <w:proofErr w:type="gramEnd"/>
                </w:p>
                <w:p w14:paraId="38397F59" w14:textId="57B9FCF1" w:rsidR="00853599" w:rsidRPr="0014771B" w:rsidRDefault="00853599" w:rsidP="00C6208E">
                  <w:pPr>
                    <w:pStyle w:val="ListParagraph"/>
                    <w:numPr>
                      <w:ilvl w:val="0"/>
                      <w:numId w:val="38"/>
                    </w:numPr>
                    <w:spacing w:after="0" w:line="240" w:lineRule="auto"/>
                    <w:jc w:val="both"/>
                    <w:rPr>
                      <w:sz w:val="22"/>
                      <w:szCs w:val="22"/>
                    </w:rPr>
                  </w:pPr>
                  <w:r w:rsidRPr="0014771B">
                    <w:rPr>
                      <w:sz w:val="22"/>
                      <w:szCs w:val="22"/>
                    </w:rPr>
                    <w:t>RCP 4.5 – Intermediate scenario</w:t>
                  </w:r>
                </w:p>
                <w:p w14:paraId="04DEE261" w14:textId="569FAA0F" w:rsidR="00853599" w:rsidRPr="0014771B" w:rsidRDefault="00853599" w:rsidP="00C6208E">
                  <w:pPr>
                    <w:pStyle w:val="ListParagraph"/>
                    <w:numPr>
                      <w:ilvl w:val="0"/>
                      <w:numId w:val="38"/>
                    </w:numPr>
                    <w:spacing w:after="0" w:line="240" w:lineRule="auto"/>
                    <w:jc w:val="both"/>
                    <w:rPr>
                      <w:sz w:val="22"/>
                      <w:szCs w:val="22"/>
                    </w:rPr>
                  </w:pPr>
                  <w:r w:rsidRPr="0014771B">
                    <w:rPr>
                      <w:sz w:val="22"/>
                      <w:szCs w:val="22"/>
                    </w:rPr>
                    <w:t>RCP 8.5 – Worse-case scenario</w:t>
                  </w:r>
                </w:p>
                <w:p w14:paraId="3C43485D" w14:textId="77777777" w:rsidR="00853599" w:rsidRPr="0014771B" w:rsidRDefault="00853599" w:rsidP="00B85FA0">
                  <w:pPr>
                    <w:jc w:val="both"/>
                    <w:rPr>
                      <w:rFonts w:ascii="Arial" w:hAnsi="Arial" w:cs="Arial"/>
                    </w:rPr>
                  </w:pPr>
                </w:p>
                <w:p w14:paraId="1F899D24" w14:textId="41593D04" w:rsidR="00853599" w:rsidRPr="0014771B" w:rsidRDefault="00853599" w:rsidP="00B85FA0">
                  <w:pPr>
                    <w:jc w:val="both"/>
                    <w:rPr>
                      <w:rFonts w:ascii="Arial" w:hAnsi="Arial" w:cs="Arial"/>
                    </w:rPr>
                  </w:pPr>
                  <w:r w:rsidRPr="0014771B">
                    <w:rPr>
                      <w:rFonts w:ascii="Arial" w:hAnsi="Arial" w:cs="Arial"/>
                    </w:rPr>
                    <w:t>The climate change projection data used was gathered from Climate Ireland’s ‘Climate Data Explorer’ online platform. The data available on this platform is based on Nolan and Flanagan’s 2020 Ensemble of regional climate model projections for Ireland.</w:t>
                  </w:r>
                </w:p>
                <w:p w14:paraId="66B15591" w14:textId="3A884238" w:rsidR="00853599" w:rsidRPr="0014771B" w:rsidRDefault="00853599" w:rsidP="00B85FA0">
                  <w:pPr>
                    <w:jc w:val="both"/>
                    <w:rPr>
                      <w:rFonts w:ascii="Arial" w:hAnsi="Arial" w:cs="Arial"/>
                    </w:rPr>
                  </w:pPr>
                  <w:r w:rsidRPr="0014771B">
                    <w:rPr>
                      <w:rFonts w:ascii="Arial" w:hAnsi="Arial" w:cs="Arial"/>
                    </w:rPr>
                    <w:t xml:space="preserve">The Climate Data Explorer provides climate change projection data for a variety of climate </w:t>
                  </w:r>
                  <w:r w:rsidRPr="0014771B">
                    <w:rPr>
                      <w:rFonts w:ascii="Arial" w:hAnsi="Arial" w:cs="Arial"/>
                    </w:rPr>
                    <w:lastRenderedPageBreak/>
                    <w:t>variables for the period 2041-2060 (compared to a 1981-2000 baseline). Whilst it is best practice to consider climate change projections from multiple time horizons, 2041-2060 is the timeframe for which most supporting data was available. This period is relevant as it encompasses the entire planned design life of the Proposed Development.</w:t>
                  </w:r>
                </w:p>
                <w:p w14:paraId="0913FBB1" w14:textId="77777777" w:rsidR="00853599" w:rsidRPr="0014771B" w:rsidRDefault="00853599" w:rsidP="00B85FA0">
                  <w:pPr>
                    <w:jc w:val="both"/>
                    <w:rPr>
                      <w:rFonts w:ascii="Arial" w:hAnsi="Arial" w:cs="Arial"/>
                    </w:rPr>
                  </w:pPr>
                </w:p>
                <w:p w14:paraId="5827883C" w14:textId="6961CEF6" w:rsidR="00853599" w:rsidRPr="0014771B" w:rsidRDefault="00853599" w:rsidP="00B85FA0">
                  <w:pPr>
                    <w:jc w:val="both"/>
                    <w:rPr>
                      <w:rFonts w:ascii="Arial" w:hAnsi="Arial" w:cs="Arial"/>
                    </w:rPr>
                  </w:pPr>
                  <w:r w:rsidRPr="0014771B">
                    <w:rPr>
                      <w:rFonts w:ascii="Arial" w:hAnsi="Arial" w:cs="Arial"/>
                    </w:rPr>
                    <w:t>A lifecycle approach to calculating the GHGs was adopted.  This approach considers specific timescales and emissions from different lifecycle phases of a proposed development: product phase (construction materials), construction phase and operational phase</w:t>
                  </w:r>
                  <w:r w:rsidRPr="0014771B">
                    <w:t>.</w:t>
                  </w:r>
                </w:p>
                <w:p w14:paraId="6F79FE87" w14:textId="143B08A6" w:rsidR="00853599" w:rsidRPr="0014771B" w:rsidRDefault="00853599" w:rsidP="00B85FA0">
                  <w:pPr>
                    <w:jc w:val="both"/>
                    <w:rPr>
                      <w:rFonts w:ascii="Arial" w:hAnsi="Arial" w:cs="Arial"/>
                    </w:rPr>
                  </w:pPr>
                </w:p>
              </w:tc>
              <w:tc>
                <w:tcPr>
                  <w:tcW w:w="4091" w:type="dxa"/>
                </w:tcPr>
                <w:p w14:paraId="62943507" w14:textId="09C08F39" w:rsidR="00853599" w:rsidRPr="0014771B" w:rsidRDefault="00853599" w:rsidP="00B85FA0">
                  <w:pPr>
                    <w:jc w:val="both"/>
                    <w:rPr>
                      <w:rFonts w:ascii="Arial" w:hAnsi="Arial" w:cs="Arial"/>
                      <w:b/>
                      <w:bCs/>
                    </w:rPr>
                  </w:pPr>
                  <w:r w:rsidRPr="0014771B">
                    <w:rPr>
                      <w:rFonts w:ascii="Arial" w:hAnsi="Arial" w:cs="Arial"/>
                      <w:b/>
                      <w:bCs/>
                    </w:rPr>
                    <w:lastRenderedPageBreak/>
                    <w:t>Omissions/Difficulties</w:t>
                  </w:r>
                </w:p>
                <w:p w14:paraId="55E34F29" w14:textId="74D447DD" w:rsidR="00853599" w:rsidRPr="0014771B" w:rsidRDefault="00853599" w:rsidP="00B85FA0">
                  <w:pPr>
                    <w:jc w:val="both"/>
                    <w:rPr>
                      <w:rFonts w:ascii="Arial" w:hAnsi="Arial" w:cs="Arial"/>
                    </w:rPr>
                  </w:pPr>
                  <w:r w:rsidRPr="0014771B">
                    <w:rPr>
                      <w:rFonts w:ascii="Arial" w:hAnsi="Arial" w:cs="Arial"/>
                    </w:rPr>
                    <w:t xml:space="preserve">Due to the nature of GHG emissions i.e., they are not geographically constrained and the receptor being the global climate, a quantitative assessment of cumulative GHG effects is not appropriate. Consequently, consideration of effects on the climate of GHG emissions from the Proposed Development together with other arbitrarily selected developments is not considered to be applicable. </w:t>
                  </w:r>
                </w:p>
                <w:p w14:paraId="26D5F555" w14:textId="7059FBDE" w:rsidR="00853599" w:rsidRPr="0014771B" w:rsidRDefault="00853599" w:rsidP="00B85FA0">
                  <w:pPr>
                    <w:jc w:val="both"/>
                    <w:rPr>
                      <w:rFonts w:ascii="Arial" w:hAnsi="Arial" w:cs="Arial"/>
                    </w:rPr>
                  </w:pPr>
                  <w:r w:rsidRPr="0014771B">
                    <w:rPr>
                      <w:rFonts w:ascii="Arial" w:hAnsi="Arial" w:cs="Arial"/>
                    </w:rPr>
                    <w:t xml:space="preserve">There are inherent uncertainties associated with climate change </w:t>
                  </w:r>
                  <w:r w:rsidRPr="0014771B">
                    <w:rPr>
                      <w:rFonts w:ascii="Arial" w:hAnsi="Arial" w:cs="Arial"/>
                    </w:rPr>
                    <w:lastRenderedPageBreak/>
                    <w:t xml:space="preserve">projections, as detailed in the EIAR.  To overcome these, current climate change data and science has been incorporated into the assessment and proven effective approaches undertaken to assess similar project types have been replicated. </w:t>
                  </w:r>
                </w:p>
                <w:p w14:paraId="74A46B53" w14:textId="3C7D1D60" w:rsidR="00853599" w:rsidRPr="0014771B" w:rsidRDefault="00853599" w:rsidP="00B85FA0">
                  <w:pPr>
                    <w:jc w:val="both"/>
                    <w:rPr>
                      <w:rFonts w:ascii="Arial" w:hAnsi="Arial" w:cs="Arial"/>
                    </w:rPr>
                  </w:pPr>
                  <w:r w:rsidRPr="0014771B">
                    <w:rPr>
                      <w:rFonts w:ascii="Arial" w:hAnsi="Arial" w:cs="Arial"/>
                    </w:rPr>
                    <w:t>Further assumptions specific to the GHG and CCR assessments are detailed in their respective sections of the EIAR.</w:t>
                  </w:r>
                </w:p>
                <w:p w14:paraId="7E68F159" w14:textId="77777777" w:rsidR="00853599" w:rsidRPr="0014771B" w:rsidRDefault="00853599" w:rsidP="00B85FA0">
                  <w:pPr>
                    <w:jc w:val="both"/>
                    <w:rPr>
                      <w:rFonts w:ascii="Arial" w:hAnsi="Arial" w:cs="Arial"/>
                      <w:b/>
                      <w:bCs/>
                    </w:rPr>
                  </w:pPr>
                </w:p>
                <w:p w14:paraId="64B7BCBA" w14:textId="0B513DF1" w:rsidR="00853599" w:rsidRPr="0014771B" w:rsidRDefault="00853599" w:rsidP="00B85FA0">
                  <w:pPr>
                    <w:jc w:val="both"/>
                    <w:rPr>
                      <w:rFonts w:ascii="Arial" w:hAnsi="Arial" w:cs="Arial"/>
                      <w:b/>
                      <w:bCs/>
                    </w:rPr>
                  </w:pPr>
                  <w:r w:rsidRPr="0014771B">
                    <w:rPr>
                      <w:rFonts w:ascii="Arial" w:hAnsi="Arial" w:cs="Arial"/>
                      <w:b/>
                      <w:bCs/>
                    </w:rPr>
                    <w:t>Adequacy of Forecasting</w:t>
                  </w:r>
                </w:p>
                <w:p w14:paraId="362685BE" w14:textId="4C6A53BF" w:rsidR="00853599" w:rsidRPr="0014771B" w:rsidRDefault="00853599" w:rsidP="00B85FA0">
                  <w:pPr>
                    <w:jc w:val="both"/>
                    <w:rPr>
                      <w:rFonts w:ascii="Arial" w:hAnsi="Arial" w:cs="Arial"/>
                    </w:rPr>
                  </w:pPr>
                  <w:r w:rsidRPr="0014771B">
                    <w:rPr>
                      <w:rFonts w:ascii="Arial" w:hAnsi="Arial" w:cs="Arial"/>
                    </w:rPr>
                    <w:t>I am satisfied that the Forecasting carried out for Climate is adequate to assess the potential impacts, including worst-case scenario.</w:t>
                  </w:r>
                </w:p>
              </w:tc>
            </w:tr>
            <w:tr w:rsidR="00853599" w:rsidRPr="0014771B" w14:paraId="35AF67E1" w14:textId="77777777" w:rsidTr="00853599">
              <w:tc>
                <w:tcPr>
                  <w:tcW w:w="9221" w:type="dxa"/>
                  <w:gridSpan w:val="2"/>
                  <w:shd w:val="clear" w:color="auto" w:fill="D9D9D9" w:themeFill="background1" w:themeFillShade="D9"/>
                </w:tcPr>
                <w:p w14:paraId="04A12905" w14:textId="2AC34D82" w:rsidR="00853599" w:rsidRPr="0014771B" w:rsidRDefault="00853599" w:rsidP="00B85FA0">
                  <w:pPr>
                    <w:jc w:val="center"/>
                    <w:rPr>
                      <w:rFonts w:ascii="Arial" w:hAnsi="Arial" w:cs="Arial"/>
                    </w:rPr>
                  </w:pPr>
                  <w:r w:rsidRPr="0014771B">
                    <w:rPr>
                      <w:rFonts w:ascii="Arial" w:hAnsi="Arial" w:cs="Arial"/>
                      <w:b/>
                      <w:bCs/>
                    </w:rPr>
                    <w:lastRenderedPageBreak/>
                    <w:t>Chapter 18 (Waste Management)</w:t>
                  </w:r>
                </w:p>
              </w:tc>
            </w:tr>
            <w:tr w:rsidR="00853599" w:rsidRPr="0014771B" w14:paraId="1AD843A7" w14:textId="77777777" w:rsidTr="00853599">
              <w:tc>
                <w:tcPr>
                  <w:tcW w:w="5130" w:type="dxa"/>
                </w:tcPr>
                <w:p w14:paraId="402FC3FA" w14:textId="0C94B658" w:rsidR="00853599" w:rsidRPr="0014771B" w:rsidRDefault="00853599" w:rsidP="00B85FA0">
                  <w:pPr>
                    <w:jc w:val="both"/>
                    <w:rPr>
                      <w:rFonts w:ascii="Arial" w:hAnsi="Arial" w:cs="Arial"/>
                    </w:rPr>
                  </w:pPr>
                  <w:r w:rsidRPr="0014771B">
                    <w:rPr>
                      <w:rFonts w:ascii="Arial" w:hAnsi="Arial" w:cs="Arial"/>
                      <w:b/>
                      <w:bCs/>
                    </w:rPr>
                    <w:t>Description of Forecasting Method Used</w:t>
                  </w:r>
                </w:p>
              </w:tc>
              <w:tc>
                <w:tcPr>
                  <w:tcW w:w="4091" w:type="dxa"/>
                </w:tcPr>
                <w:p w14:paraId="037E2EDB" w14:textId="4023F95A" w:rsidR="00853599" w:rsidRPr="0014771B" w:rsidRDefault="00853599" w:rsidP="00B85FA0">
                  <w:pPr>
                    <w:jc w:val="both"/>
                    <w:rPr>
                      <w:rFonts w:ascii="Arial" w:hAnsi="Arial" w:cs="Arial"/>
                    </w:rPr>
                  </w:pPr>
                  <w:r w:rsidRPr="0014771B">
                    <w:rPr>
                      <w:rFonts w:ascii="Arial" w:hAnsi="Arial" w:cs="Arial"/>
                      <w:b/>
                      <w:bCs/>
                    </w:rPr>
                    <w:t>Adequacy/Omissions/Difficulties</w:t>
                  </w:r>
                </w:p>
              </w:tc>
            </w:tr>
            <w:tr w:rsidR="00853599" w:rsidRPr="0014771B" w14:paraId="756F7A4C" w14:textId="77777777" w:rsidTr="00853599">
              <w:tc>
                <w:tcPr>
                  <w:tcW w:w="5130" w:type="dxa"/>
                </w:tcPr>
                <w:p w14:paraId="0668019A" w14:textId="35B267CD" w:rsidR="00853599" w:rsidRPr="0014771B" w:rsidRDefault="00853599" w:rsidP="00B85FA0">
                  <w:pPr>
                    <w:jc w:val="both"/>
                    <w:rPr>
                      <w:rFonts w:ascii="Arial" w:hAnsi="Arial" w:cs="Arial"/>
                      <w:b/>
                      <w:bCs/>
                    </w:rPr>
                  </w:pPr>
                  <w:r w:rsidRPr="0014771B">
                    <w:rPr>
                      <w:rFonts w:ascii="Arial" w:hAnsi="Arial" w:cs="Arial"/>
                      <w:b/>
                      <w:bCs/>
                    </w:rPr>
                    <w:t>Estimated Waste Arisings (Section 18.5.2 of EIAR)</w:t>
                  </w:r>
                </w:p>
                <w:p w14:paraId="295D9BBF" w14:textId="059D3571" w:rsidR="00853599" w:rsidRPr="0014771B" w:rsidRDefault="00853599" w:rsidP="004C5F5D">
                  <w:pPr>
                    <w:jc w:val="both"/>
                    <w:rPr>
                      <w:rFonts w:ascii="Arial" w:hAnsi="Arial" w:cs="Arial"/>
                    </w:rPr>
                  </w:pPr>
                  <w:r w:rsidRPr="0014771B">
                    <w:rPr>
                      <w:rFonts w:ascii="Arial" w:hAnsi="Arial" w:cs="Arial"/>
                    </w:rPr>
                    <w:t xml:space="preserve">C&amp;D waste estimates are based on material quantities/volumes included in a bill of quantities providing an overview of demolition, excavation and construction requirements and material quantities for the Proposed Development. </w:t>
                  </w:r>
                </w:p>
                <w:p w14:paraId="71F34693" w14:textId="37183893" w:rsidR="00853599" w:rsidRPr="0014771B" w:rsidRDefault="00853599" w:rsidP="004C5F5D">
                  <w:pPr>
                    <w:jc w:val="both"/>
                    <w:rPr>
                      <w:rFonts w:ascii="Arial" w:hAnsi="Arial" w:cs="Arial"/>
                    </w:rPr>
                  </w:pPr>
                  <w:r w:rsidRPr="0014771B">
                    <w:rPr>
                      <w:rFonts w:ascii="Arial" w:hAnsi="Arial" w:cs="Arial"/>
                    </w:rPr>
                    <w:t>Waste &amp; Resources Action Programme (WRAP) construction, demolition and excavation waste volume to mass conversion factors and National Highways material density factors have been used to convert the material quantities/volumes provided to tonnes so that they can be assessed against C&amp;D Waste Collected in Ireland in 2021.</w:t>
                  </w:r>
                </w:p>
              </w:tc>
              <w:tc>
                <w:tcPr>
                  <w:tcW w:w="4091" w:type="dxa"/>
                </w:tcPr>
                <w:p w14:paraId="23ECF26F" w14:textId="77777777" w:rsidR="00853599" w:rsidRPr="0014771B" w:rsidRDefault="00853599" w:rsidP="00E2332C">
                  <w:pPr>
                    <w:jc w:val="both"/>
                    <w:rPr>
                      <w:rFonts w:ascii="Arial" w:hAnsi="Arial" w:cs="Arial"/>
                      <w:b/>
                      <w:bCs/>
                    </w:rPr>
                  </w:pPr>
                  <w:r w:rsidRPr="0014771B">
                    <w:rPr>
                      <w:rFonts w:ascii="Arial" w:hAnsi="Arial" w:cs="Arial"/>
                      <w:b/>
                      <w:bCs/>
                    </w:rPr>
                    <w:t>Omissions/Difficulties</w:t>
                  </w:r>
                </w:p>
                <w:p w14:paraId="4897C585" w14:textId="5F65AB99" w:rsidR="00853599" w:rsidRPr="0014771B" w:rsidRDefault="00853599" w:rsidP="00B85FA0">
                  <w:pPr>
                    <w:jc w:val="both"/>
                    <w:rPr>
                      <w:rFonts w:ascii="Arial" w:hAnsi="Arial" w:cs="Arial"/>
                    </w:rPr>
                  </w:pPr>
                  <w:r w:rsidRPr="0014771B">
                    <w:rPr>
                      <w:rFonts w:ascii="Arial" w:hAnsi="Arial" w:cs="Arial"/>
                    </w:rPr>
                    <w:t>Limitations and Assumptions are described in Section 18.3.5 of the EIAR.</w:t>
                  </w:r>
                </w:p>
                <w:p w14:paraId="5D27D3CB" w14:textId="77777777" w:rsidR="00853599" w:rsidRPr="0014771B" w:rsidRDefault="00853599" w:rsidP="00B85FA0">
                  <w:pPr>
                    <w:jc w:val="both"/>
                    <w:rPr>
                      <w:rFonts w:ascii="Arial" w:hAnsi="Arial" w:cs="Arial"/>
                    </w:rPr>
                  </w:pPr>
                </w:p>
                <w:p w14:paraId="5BF508D5" w14:textId="77777777" w:rsidR="00853599" w:rsidRPr="0014771B" w:rsidRDefault="00853599" w:rsidP="00E2332C">
                  <w:pPr>
                    <w:jc w:val="both"/>
                    <w:rPr>
                      <w:rFonts w:ascii="Arial" w:hAnsi="Arial" w:cs="Arial"/>
                      <w:b/>
                      <w:bCs/>
                    </w:rPr>
                  </w:pPr>
                  <w:r w:rsidRPr="0014771B">
                    <w:rPr>
                      <w:rFonts w:ascii="Arial" w:hAnsi="Arial" w:cs="Arial"/>
                      <w:b/>
                      <w:bCs/>
                    </w:rPr>
                    <w:t>Adequacy of Forecasting</w:t>
                  </w:r>
                </w:p>
                <w:p w14:paraId="65B00990" w14:textId="3368FD6E" w:rsidR="00853599" w:rsidRPr="0014771B" w:rsidRDefault="00853599" w:rsidP="00027376">
                  <w:pPr>
                    <w:jc w:val="both"/>
                    <w:rPr>
                      <w:rFonts w:ascii="Arial" w:hAnsi="Arial" w:cs="Arial"/>
                    </w:rPr>
                  </w:pPr>
                  <w:r w:rsidRPr="0014771B">
                    <w:rPr>
                      <w:rFonts w:ascii="Arial" w:hAnsi="Arial" w:cs="Arial"/>
                    </w:rPr>
                    <w:t>I am satisfied that the Forecasting carried out for Waste is adequate to assess the amount of waste that will be produced and the potential impacts.</w:t>
                  </w:r>
                </w:p>
                <w:p w14:paraId="1FC1B7AC" w14:textId="77777777" w:rsidR="00853599" w:rsidRPr="0014771B" w:rsidRDefault="00853599" w:rsidP="00B85FA0">
                  <w:pPr>
                    <w:jc w:val="both"/>
                    <w:rPr>
                      <w:rFonts w:ascii="Arial" w:hAnsi="Arial" w:cs="Arial"/>
                    </w:rPr>
                  </w:pPr>
                </w:p>
                <w:p w14:paraId="5E2C1AE2" w14:textId="77777777" w:rsidR="00853599" w:rsidRPr="0014771B" w:rsidRDefault="00853599" w:rsidP="00B85FA0">
                  <w:pPr>
                    <w:jc w:val="both"/>
                    <w:rPr>
                      <w:rFonts w:ascii="Arial" w:hAnsi="Arial" w:cs="Arial"/>
                    </w:rPr>
                  </w:pPr>
                </w:p>
                <w:p w14:paraId="303F4529" w14:textId="77777777" w:rsidR="00853599" w:rsidRPr="0014771B" w:rsidRDefault="00853599" w:rsidP="00B85FA0">
                  <w:pPr>
                    <w:jc w:val="both"/>
                    <w:rPr>
                      <w:rFonts w:ascii="Arial" w:hAnsi="Arial" w:cs="Arial"/>
                    </w:rPr>
                  </w:pPr>
                </w:p>
                <w:p w14:paraId="1CE76DE4" w14:textId="77777777" w:rsidR="00853599" w:rsidRPr="0014771B" w:rsidRDefault="00853599" w:rsidP="00B85FA0">
                  <w:pPr>
                    <w:jc w:val="both"/>
                    <w:rPr>
                      <w:rFonts w:ascii="Arial" w:hAnsi="Arial" w:cs="Arial"/>
                    </w:rPr>
                  </w:pPr>
                </w:p>
              </w:tc>
            </w:tr>
            <w:tr w:rsidR="00853599" w:rsidRPr="0014771B" w14:paraId="19C74DDF" w14:textId="77777777" w:rsidTr="00853599">
              <w:tc>
                <w:tcPr>
                  <w:tcW w:w="9221" w:type="dxa"/>
                  <w:gridSpan w:val="2"/>
                  <w:shd w:val="clear" w:color="auto" w:fill="D9D9D9" w:themeFill="background1" w:themeFillShade="D9"/>
                </w:tcPr>
                <w:p w14:paraId="5E631270" w14:textId="048781B3" w:rsidR="00853599" w:rsidRPr="0014771B" w:rsidRDefault="00853599" w:rsidP="00B85FA0">
                  <w:pPr>
                    <w:jc w:val="center"/>
                    <w:rPr>
                      <w:rFonts w:ascii="Arial" w:hAnsi="Arial" w:cs="Arial"/>
                    </w:rPr>
                  </w:pPr>
                  <w:r w:rsidRPr="0014771B">
                    <w:rPr>
                      <w:rFonts w:ascii="Arial" w:hAnsi="Arial" w:cs="Arial"/>
                      <w:b/>
                      <w:bCs/>
                    </w:rPr>
                    <w:t>Chapter 19 (Major Accidents and Disasters)</w:t>
                  </w:r>
                </w:p>
              </w:tc>
            </w:tr>
            <w:tr w:rsidR="00853599" w:rsidRPr="0014771B" w14:paraId="4AC41443" w14:textId="77777777" w:rsidTr="00853599">
              <w:tc>
                <w:tcPr>
                  <w:tcW w:w="5130" w:type="dxa"/>
                </w:tcPr>
                <w:p w14:paraId="63F79F59" w14:textId="0374A15E" w:rsidR="00853599" w:rsidRPr="0014771B" w:rsidRDefault="00853599" w:rsidP="00B85FA0">
                  <w:pPr>
                    <w:jc w:val="both"/>
                    <w:rPr>
                      <w:rFonts w:ascii="Arial" w:hAnsi="Arial" w:cs="Arial"/>
                    </w:rPr>
                  </w:pPr>
                  <w:r w:rsidRPr="0014771B">
                    <w:rPr>
                      <w:rFonts w:ascii="Arial" w:hAnsi="Arial" w:cs="Arial"/>
                      <w:b/>
                      <w:bCs/>
                    </w:rPr>
                    <w:t>Description of Forecasting Method Used</w:t>
                  </w:r>
                </w:p>
              </w:tc>
              <w:tc>
                <w:tcPr>
                  <w:tcW w:w="4091" w:type="dxa"/>
                </w:tcPr>
                <w:p w14:paraId="2DA9162A" w14:textId="2C5F4D72" w:rsidR="00853599" w:rsidRPr="0014771B" w:rsidRDefault="00853599" w:rsidP="00B85FA0">
                  <w:pPr>
                    <w:jc w:val="both"/>
                    <w:rPr>
                      <w:rFonts w:ascii="Arial" w:hAnsi="Arial" w:cs="Arial"/>
                    </w:rPr>
                  </w:pPr>
                  <w:r w:rsidRPr="0014771B">
                    <w:rPr>
                      <w:rFonts w:ascii="Arial" w:hAnsi="Arial" w:cs="Arial"/>
                      <w:b/>
                      <w:bCs/>
                    </w:rPr>
                    <w:t>Adequacy/Omissions/Difficulties</w:t>
                  </w:r>
                </w:p>
              </w:tc>
            </w:tr>
            <w:tr w:rsidR="00853599" w:rsidRPr="0014771B" w14:paraId="023C06B0" w14:textId="77777777" w:rsidTr="00853599">
              <w:tc>
                <w:tcPr>
                  <w:tcW w:w="5130" w:type="dxa"/>
                </w:tcPr>
                <w:p w14:paraId="0559F8F4" w14:textId="64F8E915" w:rsidR="00853599" w:rsidRPr="0014771B" w:rsidRDefault="00853599" w:rsidP="004F239A">
                  <w:pPr>
                    <w:jc w:val="both"/>
                    <w:rPr>
                      <w:rFonts w:ascii="Arial" w:hAnsi="Arial" w:cs="Arial"/>
                    </w:rPr>
                  </w:pPr>
                  <w:r w:rsidRPr="0014771B">
                    <w:rPr>
                      <w:rFonts w:ascii="Arial" w:hAnsi="Arial" w:cs="Arial"/>
                    </w:rPr>
                    <w:t xml:space="preserve">The assessment of MA&amp;Ds has been based on the application of standard hazard identification and risk assessment methodology which is typically applied at COMAH Installations and follows the IEMA and EPA guidance where applicable. </w:t>
                  </w:r>
                </w:p>
                <w:p w14:paraId="73913F27" w14:textId="1D9274BF" w:rsidR="00853599" w:rsidRPr="0014771B" w:rsidRDefault="00853599" w:rsidP="004F239A">
                  <w:pPr>
                    <w:jc w:val="both"/>
                    <w:rPr>
                      <w:rFonts w:ascii="Arial" w:hAnsi="Arial" w:cs="Arial"/>
                    </w:rPr>
                  </w:pPr>
                  <w:r w:rsidRPr="0014771B">
                    <w:rPr>
                      <w:rFonts w:ascii="Arial" w:hAnsi="Arial" w:cs="Arial"/>
                    </w:rPr>
                    <w:t xml:space="preserve">This methodology aims to identify credible hazard scenarios which are pertinent to the Proposed Development by virtue of the substances present, operations carried out and the geographic location. </w:t>
                  </w:r>
                </w:p>
                <w:p w14:paraId="539D0FAC" w14:textId="03F6C6D1" w:rsidR="00853599" w:rsidRPr="0014771B" w:rsidRDefault="00853599" w:rsidP="004F239A">
                  <w:pPr>
                    <w:jc w:val="both"/>
                    <w:rPr>
                      <w:rFonts w:ascii="Arial" w:hAnsi="Arial" w:cs="Arial"/>
                    </w:rPr>
                  </w:pPr>
                  <w:r w:rsidRPr="0014771B">
                    <w:rPr>
                      <w:rFonts w:ascii="Arial" w:hAnsi="Arial" w:cs="Arial"/>
                    </w:rPr>
                    <w:t>For each scenario identified, the precautionary measures associated with these hazards are taken into</w:t>
                  </w:r>
                  <w:r>
                    <w:rPr>
                      <w:rFonts w:ascii="Arial" w:hAnsi="Arial" w:cs="Arial"/>
                    </w:rPr>
                    <w:t xml:space="preserve"> </w:t>
                  </w:r>
                  <w:r w:rsidRPr="0014771B">
                    <w:rPr>
                      <w:rFonts w:ascii="Arial" w:hAnsi="Arial" w:cs="Arial"/>
                    </w:rPr>
                    <w:t>consideration and the residual risk is assessed. Following implementation of mitigation measures, the residual risk should be commensurate with a level considered by the Health and Safety Authority and EPA to be ‘as low as reasonably practicable’ (ALARP).</w:t>
                  </w:r>
                </w:p>
              </w:tc>
              <w:tc>
                <w:tcPr>
                  <w:tcW w:w="4091" w:type="dxa"/>
                </w:tcPr>
                <w:p w14:paraId="776E8656" w14:textId="77777777" w:rsidR="00853599" w:rsidRPr="0014771B" w:rsidRDefault="00853599" w:rsidP="006A7C38">
                  <w:pPr>
                    <w:jc w:val="both"/>
                    <w:rPr>
                      <w:rFonts w:ascii="Arial" w:hAnsi="Arial" w:cs="Arial"/>
                      <w:b/>
                      <w:bCs/>
                    </w:rPr>
                  </w:pPr>
                  <w:r w:rsidRPr="0014771B">
                    <w:rPr>
                      <w:rFonts w:ascii="Arial" w:hAnsi="Arial" w:cs="Arial"/>
                      <w:b/>
                      <w:bCs/>
                    </w:rPr>
                    <w:t>Omissions/Difficulties</w:t>
                  </w:r>
                </w:p>
                <w:p w14:paraId="66249BDC" w14:textId="18DE257A" w:rsidR="00853599" w:rsidRPr="0014771B" w:rsidRDefault="00853599" w:rsidP="006A7C38">
                  <w:pPr>
                    <w:jc w:val="both"/>
                    <w:rPr>
                      <w:rFonts w:ascii="Arial" w:hAnsi="Arial" w:cs="Arial"/>
                    </w:rPr>
                  </w:pPr>
                  <w:r w:rsidRPr="0014771B">
                    <w:rPr>
                      <w:rFonts w:ascii="Arial" w:hAnsi="Arial" w:cs="Arial"/>
                    </w:rPr>
                    <w:t>None noted.</w:t>
                  </w:r>
                </w:p>
                <w:p w14:paraId="257C2243" w14:textId="77777777" w:rsidR="00853599" w:rsidRPr="0014771B" w:rsidRDefault="00853599" w:rsidP="006A7C38">
                  <w:pPr>
                    <w:jc w:val="both"/>
                    <w:rPr>
                      <w:rFonts w:ascii="Arial" w:hAnsi="Arial" w:cs="Arial"/>
                    </w:rPr>
                  </w:pPr>
                </w:p>
                <w:p w14:paraId="263B27ED" w14:textId="77777777" w:rsidR="00853599" w:rsidRPr="0014771B" w:rsidRDefault="00853599" w:rsidP="006A7C38">
                  <w:pPr>
                    <w:jc w:val="both"/>
                    <w:rPr>
                      <w:rFonts w:ascii="Arial" w:hAnsi="Arial" w:cs="Arial"/>
                      <w:b/>
                      <w:bCs/>
                    </w:rPr>
                  </w:pPr>
                  <w:r w:rsidRPr="0014771B">
                    <w:rPr>
                      <w:rFonts w:ascii="Arial" w:hAnsi="Arial" w:cs="Arial"/>
                      <w:b/>
                      <w:bCs/>
                    </w:rPr>
                    <w:t>Adequacy of Forecasting</w:t>
                  </w:r>
                </w:p>
                <w:p w14:paraId="040FED0D" w14:textId="0AB94863" w:rsidR="00853599" w:rsidRPr="0014771B" w:rsidRDefault="00853599" w:rsidP="006A7C38">
                  <w:pPr>
                    <w:jc w:val="both"/>
                    <w:rPr>
                      <w:rFonts w:ascii="Arial" w:hAnsi="Arial" w:cs="Arial"/>
                    </w:rPr>
                  </w:pPr>
                  <w:r w:rsidRPr="0014771B">
                    <w:rPr>
                      <w:rFonts w:ascii="Arial" w:hAnsi="Arial" w:cs="Arial"/>
                    </w:rPr>
                    <w:t xml:space="preserve">I am satisfied that the forecasting carried out, which comprises an assessment of potential scenarios is adequate to identity likelihood of risks relating to the proposed development. </w:t>
                  </w:r>
                </w:p>
                <w:p w14:paraId="4B6F271B" w14:textId="77777777" w:rsidR="00853599" w:rsidRPr="0014771B" w:rsidRDefault="00853599" w:rsidP="00B85FA0">
                  <w:pPr>
                    <w:jc w:val="both"/>
                    <w:rPr>
                      <w:rFonts w:ascii="Arial" w:hAnsi="Arial" w:cs="Arial"/>
                    </w:rPr>
                  </w:pPr>
                </w:p>
              </w:tc>
            </w:tr>
          </w:tbl>
          <w:p w14:paraId="61396CE3" w14:textId="6A592BF8" w:rsidR="00B414AC" w:rsidRPr="0014771B" w:rsidRDefault="00B414AC" w:rsidP="00A8037F">
            <w:pPr>
              <w:jc w:val="both"/>
              <w:rPr>
                <w:rFonts w:ascii="Arial" w:hAnsi="Arial" w:cs="Arial"/>
              </w:rPr>
            </w:pPr>
          </w:p>
        </w:tc>
      </w:tr>
      <w:tr w:rsidR="00B414AC" w:rsidRPr="00453342" w14:paraId="5B42A331" w14:textId="77777777" w:rsidTr="00063F7C">
        <w:tc>
          <w:tcPr>
            <w:tcW w:w="9447" w:type="dxa"/>
            <w:shd w:val="clear" w:color="auto" w:fill="BFBFBF" w:themeFill="background1" w:themeFillShade="BF"/>
          </w:tcPr>
          <w:p w14:paraId="5141901E" w14:textId="6DD00FEF" w:rsidR="00B414AC" w:rsidRPr="0014771B" w:rsidRDefault="00B414AC" w:rsidP="00A8037F">
            <w:pPr>
              <w:jc w:val="both"/>
              <w:rPr>
                <w:rFonts w:ascii="Arial" w:hAnsi="Arial" w:cs="Arial"/>
                <w:i/>
                <w:iCs/>
              </w:rPr>
            </w:pPr>
            <w:r w:rsidRPr="0014771B">
              <w:rPr>
                <w:rFonts w:ascii="Arial" w:hAnsi="Arial" w:cs="Arial"/>
              </w:rPr>
              <w:lastRenderedPageBreak/>
              <w:t>A description of the expected significant adverse effects on the environment of the proposed development deriving from its vulnerability to risks of major accidents and/or disasters which are relevant to it.</w:t>
            </w:r>
          </w:p>
        </w:tc>
      </w:tr>
      <w:tr w:rsidR="00B414AC" w:rsidRPr="00453342" w14:paraId="76467455" w14:textId="77777777" w:rsidTr="00416F9B">
        <w:tc>
          <w:tcPr>
            <w:tcW w:w="9447" w:type="dxa"/>
            <w:shd w:val="clear" w:color="auto" w:fill="auto"/>
          </w:tcPr>
          <w:p w14:paraId="7151FE0D" w14:textId="04ACB112" w:rsidR="00B414AC" w:rsidRPr="0014771B" w:rsidRDefault="00B414AC" w:rsidP="00A8037F">
            <w:pPr>
              <w:jc w:val="both"/>
              <w:rPr>
                <w:rFonts w:ascii="Arial" w:hAnsi="Arial" w:cs="Arial"/>
                <w:color w:val="000000" w:themeColor="text1"/>
              </w:rPr>
            </w:pPr>
            <w:r w:rsidRPr="0014771B">
              <w:rPr>
                <w:rFonts w:ascii="Arial" w:hAnsi="Arial" w:cs="Arial"/>
                <w:color w:val="000000" w:themeColor="text1"/>
              </w:rPr>
              <w:t xml:space="preserve">This issue is specifically dealt with in the in </w:t>
            </w:r>
            <w:r w:rsidR="00257F50" w:rsidRPr="0014771B">
              <w:rPr>
                <w:rFonts w:ascii="Arial" w:hAnsi="Arial" w:cs="Arial"/>
                <w:color w:val="000000" w:themeColor="text1"/>
              </w:rPr>
              <w:t>Chapter 1</w:t>
            </w:r>
            <w:r w:rsidR="00B72C4C" w:rsidRPr="0014771B">
              <w:rPr>
                <w:rFonts w:ascii="Arial" w:hAnsi="Arial" w:cs="Arial"/>
                <w:color w:val="000000" w:themeColor="text1"/>
              </w:rPr>
              <w:t>9 (Major Accidents and Disasters)</w:t>
            </w:r>
            <w:r w:rsidRPr="0014771B">
              <w:rPr>
                <w:rFonts w:ascii="Arial" w:hAnsi="Arial" w:cs="Arial"/>
                <w:color w:val="000000" w:themeColor="text1"/>
              </w:rPr>
              <w:t xml:space="preserve"> of the EIAR.  Specific risks have been identified in relation to the</w:t>
            </w:r>
            <w:r w:rsidR="00086243" w:rsidRPr="0014771B">
              <w:rPr>
                <w:rFonts w:ascii="Arial" w:hAnsi="Arial" w:cs="Arial"/>
                <w:color w:val="000000" w:themeColor="text1"/>
              </w:rPr>
              <w:t xml:space="preserve"> do</w:t>
            </w:r>
            <w:r w:rsidR="00F9262A" w:rsidRPr="0014771B">
              <w:rPr>
                <w:rFonts w:ascii="Arial" w:hAnsi="Arial" w:cs="Arial"/>
                <w:color w:val="000000" w:themeColor="text1"/>
              </w:rPr>
              <w:t>-</w:t>
            </w:r>
            <w:r w:rsidR="00086243" w:rsidRPr="0014771B">
              <w:rPr>
                <w:rFonts w:ascii="Arial" w:hAnsi="Arial" w:cs="Arial"/>
                <w:color w:val="000000" w:themeColor="text1"/>
              </w:rPr>
              <w:t xml:space="preserve">nothing scenario, </w:t>
            </w:r>
            <w:r w:rsidR="00B72C4C" w:rsidRPr="0014771B">
              <w:rPr>
                <w:rFonts w:ascii="Arial" w:hAnsi="Arial" w:cs="Arial"/>
                <w:color w:val="000000" w:themeColor="text1"/>
              </w:rPr>
              <w:t xml:space="preserve">the </w:t>
            </w:r>
            <w:r w:rsidR="00086243" w:rsidRPr="0014771B">
              <w:rPr>
                <w:rFonts w:ascii="Arial" w:hAnsi="Arial" w:cs="Arial"/>
                <w:color w:val="000000" w:themeColor="text1"/>
              </w:rPr>
              <w:t xml:space="preserve">construction </w:t>
            </w:r>
            <w:proofErr w:type="gramStart"/>
            <w:r w:rsidR="00086243" w:rsidRPr="0014771B">
              <w:rPr>
                <w:rFonts w:ascii="Arial" w:hAnsi="Arial" w:cs="Arial"/>
                <w:color w:val="000000" w:themeColor="text1"/>
              </w:rPr>
              <w:t>phase</w:t>
            </w:r>
            <w:proofErr w:type="gramEnd"/>
            <w:r w:rsidR="00B72C4C" w:rsidRPr="0014771B">
              <w:rPr>
                <w:rFonts w:ascii="Arial" w:hAnsi="Arial" w:cs="Arial"/>
                <w:color w:val="000000" w:themeColor="text1"/>
              </w:rPr>
              <w:t xml:space="preserve"> and</w:t>
            </w:r>
            <w:r w:rsidR="00F9262A" w:rsidRPr="0014771B">
              <w:rPr>
                <w:rFonts w:ascii="Arial" w:hAnsi="Arial" w:cs="Arial"/>
                <w:color w:val="000000" w:themeColor="text1"/>
              </w:rPr>
              <w:t xml:space="preserve"> </w:t>
            </w:r>
            <w:r w:rsidR="00B72C4C" w:rsidRPr="0014771B">
              <w:rPr>
                <w:rFonts w:ascii="Arial" w:hAnsi="Arial" w:cs="Arial"/>
                <w:color w:val="000000" w:themeColor="text1"/>
              </w:rPr>
              <w:t xml:space="preserve">the </w:t>
            </w:r>
            <w:r w:rsidR="00F9262A" w:rsidRPr="0014771B">
              <w:rPr>
                <w:rFonts w:ascii="Arial" w:hAnsi="Arial" w:cs="Arial"/>
                <w:color w:val="000000" w:themeColor="text1"/>
              </w:rPr>
              <w:t>operational phase</w:t>
            </w:r>
            <w:r w:rsidRPr="0014771B">
              <w:rPr>
                <w:rFonts w:ascii="Arial" w:hAnsi="Arial" w:cs="Arial"/>
                <w:color w:val="000000" w:themeColor="text1"/>
              </w:rPr>
              <w:t xml:space="preserve">.  </w:t>
            </w:r>
            <w:r w:rsidR="00CE5DF1" w:rsidRPr="0014771B">
              <w:rPr>
                <w:rFonts w:ascii="Arial" w:hAnsi="Arial" w:cs="Arial"/>
                <w:color w:val="000000" w:themeColor="text1"/>
              </w:rPr>
              <w:t xml:space="preserve">This includes an assessment of </w:t>
            </w:r>
            <w:r w:rsidR="009A3A83" w:rsidRPr="0014771B">
              <w:rPr>
                <w:rFonts w:ascii="Arial" w:hAnsi="Arial" w:cs="Arial"/>
                <w:color w:val="000000" w:themeColor="text1"/>
              </w:rPr>
              <w:t xml:space="preserve">hazardous substances and operations associated with the proposed development.  </w:t>
            </w:r>
            <w:r w:rsidRPr="0014771B">
              <w:rPr>
                <w:rFonts w:ascii="Arial" w:hAnsi="Arial" w:cs="Arial"/>
                <w:color w:val="000000" w:themeColor="text1"/>
              </w:rPr>
              <w:t>These risks are reasonable and are assessed in my report.</w:t>
            </w:r>
          </w:p>
          <w:p w14:paraId="372A8BEA" w14:textId="31632111" w:rsidR="00B72C4C" w:rsidRPr="0014771B" w:rsidRDefault="00B72C4C" w:rsidP="00A8037F">
            <w:pPr>
              <w:jc w:val="both"/>
              <w:rPr>
                <w:rFonts w:ascii="Arial" w:hAnsi="Arial" w:cs="Arial"/>
              </w:rPr>
            </w:pPr>
          </w:p>
        </w:tc>
      </w:tr>
      <w:tr w:rsidR="00B414AC" w:rsidRPr="00453342" w14:paraId="3745DAB2" w14:textId="77777777" w:rsidTr="00063F7C">
        <w:tc>
          <w:tcPr>
            <w:tcW w:w="9447" w:type="dxa"/>
            <w:shd w:val="clear" w:color="auto" w:fill="BFBFBF" w:themeFill="background1" w:themeFillShade="BF"/>
          </w:tcPr>
          <w:p w14:paraId="2E06004A" w14:textId="77A956FC" w:rsidR="00B414AC" w:rsidRPr="0014771B" w:rsidRDefault="00B414AC" w:rsidP="00A8037F">
            <w:pPr>
              <w:jc w:val="both"/>
              <w:rPr>
                <w:rFonts w:ascii="Arial" w:hAnsi="Arial" w:cs="Arial"/>
              </w:rPr>
            </w:pPr>
            <w:r w:rsidRPr="0014771B">
              <w:rPr>
                <w:rFonts w:ascii="Arial" w:hAnsi="Arial" w:cs="Arial"/>
              </w:rPr>
              <w:t>Article 94 (c) A summary of the information in non-technical language.</w:t>
            </w:r>
          </w:p>
        </w:tc>
      </w:tr>
      <w:tr w:rsidR="00B414AC" w:rsidRPr="00453342" w14:paraId="3B4A8635" w14:textId="77777777" w:rsidTr="00416F9B">
        <w:tc>
          <w:tcPr>
            <w:tcW w:w="9447" w:type="dxa"/>
            <w:shd w:val="clear" w:color="auto" w:fill="auto"/>
          </w:tcPr>
          <w:p w14:paraId="30FBDB6E" w14:textId="77777777" w:rsidR="00155F8C" w:rsidRPr="0014771B" w:rsidRDefault="00B414AC" w:rsidP="00A8037F">
            <w:pPr>
              <w:jc w:val="both"/>
              <w:rPr>
                <w:rFonts w:ascii="Arial" w:hAnsi="Arial" w:cs="Arial"/>
                <w:color w:val="000000" w:themeColor="text1"/>
              </w:rPr>
            </w:pPr>
            <w:r w:rsidRPr="0014771B">
              <w:rPr>
                <w:rFonts w:ascii="Arial" w:hAnsi="Arial" w:cs="Arial"/>
                <w:color w:val="000000" w:themeColor="text1"/>
              </w:rPr>
              <w:t xml:space="preserve">This information has been submitted as a separate standalone document </w:t>
            </w:r>
            <w:r w:rsidR="00BE5191" w:rsidRPr="0014771B">
              <w:rPr>
                <w:rFonts w:ascii="Arial" w:hAnsi="Arial" w:cs="Arial"/>
                <w:color w:val="000000" w:themeColor="text1"/>
              </w:rPr>
              <w:t>entitled Non-Technical Summary (NTS</w:t>
            </w:r>
            <w:r w:rsidRPr="0014771B">
              <w:rPr>
                <w:rFonts w:ascii="Arial" w:hAnsi="Arial" w:cs="Arial"/>
                <w:color w:val="000000" w:themeColor="text1"/>
              </w:rPr>
              <w:t>). I have read this document, and I am satisfied that the document is concise and comprehensive and is written in a language that is easily understood by a lay member of the public.</w:t>
            </w:r>
          </w:p>
          <w:p w14:paraId="0089A34E" w14:textId="4C326879" w:rsidR="00080A9E" w:rsidRPr="0014771B" w:rsidRDefault="00080A9E" w:rsidP="00A8037F">
            <w:pPr>
              <w:jc w:val="both"/>
              <w:rPr>
                <w:rFonts w:ascii="Arial" w:hAnsi="Arial" w:cs="Arial"/>
                <w:color w:val="000000" w:themeColor="text1"/>
              </w:rPr>
            </w:pPr>
          </w:p>
        </w:tc>
      </w:tr>
      <w:tr w:rsidR="00817B36" w:rsidRPr="00453342" w14:paraId="1330EE67" w14:textId="77777777" w:rsidTr="00416F9B">
        <w:tc>
          <w:tcPr>
            <w:tcW w:w="9447" w:type="dxa"/>
            <w:shd w:val="clear" w:color="auto" w:fill="BFBFBF" w:themeFill="background1" w:themeFillShade="BF"/>
          </w:tcPr>
          <w:p w14:paraId="59725B99" w14:textId="224C153E" w:rsidR="00817B36" w:rsidRPr="0014771B" w:rsidRDefault="00817B36" w:rsidP="00A8037F">
            <w:pPr>
              <w:jc w:val="both"/>
              <w:rPr>
                <w:rFonts w:ascii="Arial" w:hAnsi="Arial" w:cs="Arial"/>
                <w:i/>
                <w:iCs/>
              </w:rPr>
            </w:pPr>
            <w:r w:rsidRPr="0014771B">
              <w:rPr>
                <w:rFonts w:ascii="Arial" w:hAnsi="Arial" w:cs="Arial"/>
              </w:rPr>
              <w:t>Article 94 (d) Sources used for the description and the assessments used in the report</w:t>
            </w:r>
          </w:p>
        </w:tc>
      </w:tr>
      <w:tr w:rsidR="00891894" w:rsidRPr="00453342" w14:paraId="47401752" w14:textId="77777777" w:rsidTr="00416F9B">
        <w:tc>
          <w:tcPr>
            <w:tcW w:w="9447" w:type="dxa"/>
            <w:shd w:val="clear" w:color="auto" w:fill="auto"/>
          </w:tcPr>
          <w:p w14:paraId="1824DD93" w14:textId="77777777" w:rsidR="00EB7406" w:rsidRPr="0014771B" w:rsidRDefault="00891894" w:rsidP="00A8037F">
            <w:pPr>
              <w:jc w:val="both"/>
              <w:rPr>
                <w:rFonts w:ascii="Arial" w:hAnsi="Arial" w:cs="Arial"/>
                <w:color w:val="000000" w:themeColor="text1"/>
              </w:rPr>
            </w:pPr>
            <w:r w:rsidRPr="0014771B">
              <w:rPr>
                <w:rFonts w:ascii="Arial" w:hAnsi="Arial" w:cs="Arial"/>
                <w:color w:val="000000" w:themeColor="text1"/>
              </w:rPr>
              <w:t>The sources used to inform the description, and the assessment of the potential environmental impact are set out at the end of each chapter. I consider the sources relied upon are generally appropriate and sufficient</w:t>
            </w:r>
            <w:r w:rsidR="00EB7406" w:rsidRPr="0014771B">
              <w:rPr>
                <w:rFonts w:ascii="Arial" w:hAnsi="Arial" w:cs="Arial"/>
                <w:color w:val="000000" w:themeColor="text1"/>
              </w:rPr>
              <w:t>.</w:t>
            </w:r>
          </w:p>
          <w:p w14:paraId="17D45150" w14:textId="06582C6B" w:rsidR="00080A9E" w:rsidRPr="0014771B" w:rsidRDefault="00080A9E" w:rsidP="00A8037F">
            <w:pPr>
              <w:jc w:val="both"/>
              <w:rPr>
                <w:rFonts w:ascii="Arial" w:hAnsi="Arial" w:cs="Arial"/>
                <w:color w:val="000000" w:themeColor="text1"/>
              </w:rPr>
            </w:pPr>
          </w:p>
        </w:tc>
      </w:tr>
      <w:tr w:rsidR="00817B36" w:rsidRPr="00453342" w14:paraId="5E0606F2" w14:textId="77777777" w:rsidTr="00416F9B">
        <w:tc>
          <w:tcPr>
            <w:tcW w:w="9447" w:type="dxa"/>
            <w:shd w:val="clear" w:color="auto" w:fill="BFBFBF" w:themeFill="background1" w:themeFillShade="BF"/>
          </w:tcPr>
          <w:p w14:paraId="480E0C98" w14:textId="4898E51E" w:rsidR="00817B36" w:rsidRPr="0014771B" w:rsidRDefault="00817B36" w:rsidP="00A8037F">
            <w:pPr>
              <w:jc w:val="both"/>
              <w:rPr>
                <w:rFonts w:ascii="Arial" w:hAnsi="Arial" w:cs="Arial"/>
                <w:i/>
                <w:iCs/>
              </w:rPr>
            </w:pPr>
            <w:r w:rsidRPr="0014771B">
              <w:rPr>
                <w:rFonts w:ascii="Arial" w:hAnsi="Arial" w:cs="Arial"/>
              </w:rPr>
              <w:t xml:space="preserve">Article 94 (e) A list of the experts who contributed to the preparation of the report </w:t>
            </w:r>
          </w:p>
        </w:tc>
      </w:tr>
      <w:tr w:rsidR="00891894" w:rsidRPr="00453342" w14:paraId="0FC630AE" w14:textId="77777777" w:rsidTr="00416F9B">
        <w:tc>
          <w:tcPr>
            <w:tcW w:w="9447" w:type="dxa"/>
            <w:shd w:val="clear" w:color="auto" w:fill="auto"/>
          </w:tcPr>
          <w:p w14:paraId="4EA4F96A" w14:textId="26EBAA1C" w:rsidR="00891894" w:rsidRPr="0014771B" w:rsidRDefault="00891894" w:rsidP="00A8037F">
            <w:pPr>
              <w:jc w:val="both"/>
              <w:rPr>
                <w:rFonts w:ascii="Arial" w:hAnsi="Arial" w:cs="Arial"/>
                <w:color w:val="000000" w:themeColor="text1"/>
              </w:rPr>
            </w:pPr>
            <w:r w:rsidRPr="0014771B">
              <w:rPr>
                <w:rFonts w:ascii="Arial" w:hAnsi="Arial" w:cs="Arial"/>
                <w:color w:val="000000" w:themeColor="text1"/>
              </w:rPr>
              <w:t xml:space="preserve">A list of the various experts who contributed to the report are set out in </w:t>
            </w:r>
            <w:r w:rsidR="00EA6D59" w:rsidRPr="0014771B">
              <w:rPr>
                <w:rFonts w:ascii="Arial" w:hAnsi="Arial" w:cs="Arial"/>
                <w:color w:val="000000" w:themeColor="text1"/>
              </w:rPr>
              <w:t>Appendix 1B (Volume II)</w:t>
            </w:r>
            <w:r w:rsidRPr="0014771B">
              <w:rPr>
                <w:rFonts w:ascii="Arial" w:hAnsi="Arial" w:cs="Arial"/>
                <w:color w:val="000000" w:themeColor="text1"/>
              </w:rPr>
              <w:t xml:space="preserve"> of the </w:t>
            </w:r>
            <w:r w:rsidR="009B72F7" w:rsidRPr="0014771B">
              <w:rPr>
                <w:rFonts w:ascii="Arial" w:hAnsi="Arial" w:cs="Arial"/>
                <w:color w:val="000000" w:themeColor="text1"/>
              </w:rPr>
              <w:t>EIAR</w:t>
            </w:r>
            <w:r w:rsidRPr="0014771B">
              <w:rPr>
                <w:rFonts w:ascii="Arial" w:hAnsi="Arial" w:cs="Arial"/>
                <w:color w:val="000000" w:themeColor="text1"/>
              </w:rPr>
              <w:t xml:space="preserve">. </w:t>
            </w:r>
            <w:r w:rsidR="00E86FE2" w:rsidRPr="0014771B">
              <w:rPr>
                <w:rFonts w:ascii="Arial" w:hAnsi="Arial" w:cs="Arial"/>
                <w:color w:val="000000" w:themeColor="text1"/>
              </w:rPr>
              <w:t xml:space="preserve"> </w:t>
            </w:r>
            <w:r w:rsidR="000E4B22" w:rsidRPr="0014771B">
              <w:rPr>
                <w:rFonts w:ascii="Arial" w:hAnsi="Arial" w:cs="Arial"/>
                <w:color w:val="000000" w:themeColor="text1"/>
              </w:rPr>
              <w:t>Table 1.2</w:t>
            </w:r>
            <w:r w:rsidR="001B5107" w:rsidRPr="0014771B">
              <w:rPr>
                <w:rFonts w:ascii="Arial" w:hAnsi="Arial" w:cs="Arial"/>
                <w:color w:val="000000" w:themeColor="text1"/>
              </w:rPr>
              <w:t xml:space="preserve"> provides a</w:t>
            </w:r>
            <w:r w:rsidR="00E86FE2" w:rsidRPr="0014771B">
              <w:rPr>
                <w:rFonts w:ascii="Arial" w:hAnsi="Arial" w:cs="Arial"/>
                <w:color w:val="000000" w:themeColor="text1"/>
              </w:rPr>
              <w:t xml:space="preserve"> summary of the</w:t>
            </w:r>
            <w:r w:rsidR="001B5107" w:rsidRPr="0014771B">
              <w:rPr>
                <w:rFonts w:ascii="Arial" w:hAnsi="Arial" w:cs="Arial"/>
                <w:color w:val="000000" w:themeColor="text1"/>
              </w:rPr>
              <w:t xml:space="preserve"> experience of the Assessment Team</w:t>
            </w:r>
            <w:r w:rsidR="00996371" w:rsidRPr="0014771B">
              <w:rPr>
                <w:rFonts w:ascii="Arial" w:hAnsi="Arial" w:cs="Arial"/>
                <w:color w:val="000000" w:themeColor="text1"/>
              </w:rPr>
              <w:t xml:space="preserve"> and provides their Technical Role</w:t>
            </w:r>
            <w:r w:rsidR="001B5107" w:rsidRPr="0014771B">
              <w:rPr>
                <w:rFonts w:ascii="Arial" w:hAnsi="Arial" w:cs="Arial"/>
                <w:color w:val="000000" w:themeColor="text1"/>
              </w:rPr>
              <w:t>.</w:t>
            </w:r>
            <w:r w:rsidR="00E86FE2" w:rsidRPr="0014771B">
              <w:rPr>
                <w:rFonts w:ascii="Arial" w:hAnsi="Arial" w:cs="Arial"/>
                <w:color w:val="000000" w:themeColor="text1"/>
              </w:rPr>
              <w:t xml:space="preserve"> </w:t>
            </w:r>
            <w:r w:rsidR="001B5107" w:rsidRPr="0014771B">
              <w:rPr>
                <w:rFonts w:ascii="Arial" w:hAnsi="Arial" w:cs="Arial"/>
                <w:color w:val="000000" w:themeColor="text1"/>
              </w:rPr>
              <w:t xml:space="preserve"> Although, the </w:t>
            </w:r>
            <w:r w:rsidR="00FF7E24" w:rsidRPr="0014771B">
              <w:rPr>
                <w:rFonts w:ascii="Arial" w:hAnsi="Arial" w:cs="Arial"/>
                <w:color w:val="000000" w:themeColor="text1"/>
              </w:rPr>
              <w:t>qualifications</w:t>
            </w:r>
            <w:r w:rsidR="001B5107" w:rsidRPr="0014771B">
              <w:rPr>
                <w:rFonts w:ascii="Arial" w:hAnsi="Arial" w:cs="Arial"/>
                <w:color w:val="000000" w:themeColor="text1"/>
              </w:rPr>
              <w:t xml:space="preserve"> </w:t>
            </w:r>
            <w:r w:rsidR="00BF1779" w:rsidRPr="0014771B">
              <w:rPr>
                <w:rFonts w:ascii="Arial" w:hAnsi="Arial" w:cs="Arial"/>
                <w:color w:val="000000" w:themeColor="text1"/>
              </w:rPr>
              <w:t xml:space="preserve">of each individual expert </w:t>
            </w:r>
            <w:r w:rsidR="001B5107" w:rsidRPr="0014771B">
              <w:rPr>
                <w:rFonts w:ascii="Arial" w:hAnsi="Arial" w:cs="Arial"/>
                <w:color w:val="000000" w:themeColor="text1"/>
              </w:rPr>
              <w:t>are not identified</w:t>
            </w:r>
            <w:r w:rsidR="000E3061" w:rsidRPr="0014771B">
              <w:rPr>
                <w:rFonts w:ascii="Arial" w:hAnsi="Arial" w:cs="Arial"/>
                <w:color w:val="000000" w:themeColor="text1"/>
              </w:rPr>
              <w:t xml:space="preserve"> in the table</w:t>
            </w:r>
            <w:r w:rsidR="001B5107" w:rsidRPr="0014771B">
              <w:rPr>
                <w:rFonts w:ascii="Arial" w:hAnsi="Arial" w:cs="Arial"/>
                <w:color w:val="000000" w:themeColor="text1"/>
              </w:rPr>
              <w:t xml:space="preserve">, </w:t>
            </w:r>
            <w:r w:rsidR="00FF7E24" w:rsidRPr="0014771B">
              <w:rPr>
                <w:rFonts w:ascii="Arial" w:hAnsi="Arial" w:cs="Arial"/>
                <w:color w:val="000000" w:themeColor="text1"/>
              </w:rPr>
              <w:t>a summary of their relevant experience</w:t>
            </w:r>
            <w:r w:rsidR="000E3061" w:rsidRPr="0014771B">
              <w:rPr>
                <w:rFonts w:ascii="Arial" w:hAnsi="Arial" w:cs="Arial"/>
                <w:color w:val="000000" w:themeColor="text1"/>
              </w:rPr>
              <w:t xml:space="preserve"> and role is</w:t>
            </w:r>
            <w:r w:rsidR="00FF7E24" w:rsidRPr="0014771B">
              <w:rPr>
                <w:rFonts w:ascii="Arial" w:hAnsi="Arial" w:cs="Arial"/>
                <w:color w:val="000000" w:themeColor="text1"/>
              </w:rPr>
              <w:t xml:space="preserve"> </w:t>
            </w:r>
            <w:r w:rsidR="000E3061" w:rsidRPr="0014771B">
              <w:rPr>
                <w:rFonts w:ascii="Arial" w:hAnsi="Arial" w:cs="Arial"/>
                <w:color w:val="000000" w:themeColor="text1"/>
              </w:rPr>
              <w:t>provided</w:t>
            </w:r>
            <w:r w:rsidR="00824C9A" w:rsidRPr="0014771B">
              <w:rPr>
                <w:rFonts w:ascii="Arial" w:hAnsi="Arial" w:cs="Arial"/>
                <w:color w:val="000000" w:themeColor="text1"/>
              </w:rPr>
              <w:t xml:space="preserve">.  </w:t>
            </w:r>
            <w:r w:rsidR="00FF7E24" w:rsidRPr="0014771B">
              <w:rPr>
                <w:rFonts w:ascii="Arial" w:hAnsi="Arial" w:cs="Arial"/>
                <w:color w:val="000000" w:themeColor="text1"/>
              </w:rPr>
              <w:t xml:space="preserve"> </w:t>
            </w:r>
            <w:r w:rsidR="003A56C9" w:rsidRPr="0014771B">
              <w:rPr>
                <w:rFonts w:ascii="Arial" w:hAnsi="Arial" w:cs="Arial"/>
                <w:color w:val="000000" w:themeColor="text1"/>
              </w:rPr>
              <w:t xml:space="preserve">I am satisfied that that EIAR has been prepared </w:t>
            </w:r>
            <w:r w:rsidR="00677C9D" w:rsidRPr="0014771B">
              <w:rPr>
                <w:rFonts w:ascii="Arial" w:hAnsi="Arial" w:cs="Arial"/>
                <w:color w:val="000000" w:themeColor="text1"/>
              </w:rPr>
              <w:t>by competent expe</w:t>
            </w:r>
            <w:r w:rsidR="004E5FBA" w:rsidRPr="0014771B">
              <w:rPr>
                <w:rFonts w:ascii="Arial" w:hAnsi="Arial" w:cs="Arial"/>
                <w:color w:val="000000" w:themeColor="text1"/>
              </w:rPr>
              <w:t>rt</w:t>
            </w:r>
            <w:r w:rsidR="001538DA" w:rsidRPr="0014771B">
              <w:rPr>
                <w:rFonts w:ascii="Arial" w:hAnsi="Arial" w:cs="Arial"/>
                <w:color w:val="000000" w:themeColor="text1"/>
              </w:rPr>
              <w:t>s</w:t>
            </w:r>
            <w:r w:rsidR="004E5FBA" w:rsidRPr="0014771B">
              <w:rPr>
                <w:rFonts w:ascii="Arial" w:hAnsi="Arial" w:cs="Arial"/>
                <w:color w:val="000000" w:themeColor="text1"/>
              </w:rPr>
              <w:t xml:space="preserve"> </w:t>
            </w:r>
            <w:r w:rsidR="006D5807" w:rsidRPr="0014771B">
              <w:rPr>
                <w:rFonts w:ascii="Arial" w:hAnsi="Arial" w:cs="Arial"/>
                <w:color w:val="000000" w:themeColor="text1"/>
              </w:rPr>
              <w:t>with</w:t>
            </w:r>
            <w:r w:rsidR="004E5FBA" w:rsidRPr="0014771B">
              <w:rPr>
                <w:rFonts w:ascii="Arial" w:hAnsi="Arial" w:cs="Arial"/>
                <w:color w:val="000000" w:themeColor="text1"/>
              </w:rPr>
              <w:t>in the various Chapters of the EIAR.</w:t>
            </w:r>
          </w:p>
          <w:p w14:paraId="57A92A3C" w14:textId="2C87000F" w:rsidR="00677C9D" w:rsidRPr="0014771B" w:rsidRDefault="00677C9D" w:rsidP="00A8037F">
            <w:pPr>
              <w:jc w:val="both"/>
              <w:rPr>
                <w:rFonts w:ascii="Arial" w:hAnsi="Arial" w:cs="Arial"/>
              </w:rPr>
            </w:pPr>
          </w:p>
        </w:tc>
      </w:tr>
    </w:tbl>
    <w:p w14:paraId="1FA03695" w14:textId="4D6631C2" w:rsidR="004A22FE" w:rsidRDefault="0087003E" w:rsidP="00C67BA3">
      <w:pPr>
        <w:pStyle w:val="Heading2"/>
      </w:pPr>
      <w:r>
        <w:rPr>
          <w:rStyle w:val="CBody2Char"/>
        </w:rPr>
        <w:t>Consultations</w:t>
      </w:r>
    </w:p>
    <w:p w14:paraId="2F5985AE" w14:textId="308ECFCA" w:rsidR="00C60613" w:rsidRDefault="00C60613" w:rsidP="00B86597">
      <w:pPr>
        <w:pStyle w:val="BBody1"/>
        <w:numPr>
          <w:ilvl w:val="0"/>
          <w:numId w:val="0"/>
        </w:numPr>
        <w:jc w:val="both"/>
      </w:pPr>
      <w:r w:rsidRPr="009C608A">
        <w:t>The application has been submitted in accordance with the requirements of the Planning and Development Act 2000 (as amended) and the Planning and Development Regulations 2001 (as amended)</w:t>
      </w:r>
      <w:r>
        <w:t xml:space="preserve"> in respect of public notices</w:t>
      </w:r>
      <w:r w:rsidRPr="009C608A">
        <w:t xml:space="preserve">. </w:t>
      </w:r>
      <w:r>
        <w:t xml:space="preserve"> </w:t>
      </w:r>
      <w:r w:rsidRPr="009C608A">
        <w:t>In addition</w:t>
      </w:r>
      <w:r>
        <w:t xml:space="preserve">, the applicant has carried out </w:t>
      </w:r>
      <w:r w:rsidR="00487652">
        <w:t>P</w:t>
      </w:r>
      <w:r>
        <w:t xml:space="preserve">ublic </w:t>
      </w:r>
      <w:r w:rsidR="00487652">
        <w:t>C</w:t>
      </w:r>
      <w:r>
        <w:t xml:space="preserve">onsultation </w:t>
      </w:r>
      <w:r w:rsidR="00C8688D">
        <w:t xml:space="preserve">as described in </w:t>
      </w:r>
      <w:r w:rsidR="00487652">
        <w:t xml:space="preserve">EIAR </w:t>
      </w:r>
      <w:r w:rsidR="00C8688D">
        <w:t>Chapter 6 of the EIAR</w:t>
      </w:r>
      <w:r w:rsidR="006A2E1B">
        <w:t xml:space="preserve"> and </w:t>
      </w:r>
      <w:r w:rsidR="002B728A">
        <w:t xml:space="preserve">EIAR </w:t>
      </w:r>
      <w:r w:rsidR="006A2E1B">
        <w:t>Volume II</w:t>
      </w:r>
      <w:r w:rsidR="002B728A">
        <w:t xml:space="preserve"> Appendix 6F</w:t>
      </w:r>
      <w:r w:rsidR="00C8688D">
        <w:t xml:space="preserve">.  </w:t>
      </w:r>
      <w:r w:rsidR="00205C32">
        <w:t xml:space="preserve">Submissions </w:t>
      </w:r>
      <w:r>
        <w:t>have been received from statutory bodies and third parties and are considered in this report, in advance of decision making.</w:t>
      </w:r>
    </w:p>
    <w:p w14:paraId="186A2E2B" w14:textId="03DB1418" w:rsidR="00C60613" w:rsidRDefault="00C60613" w:rsidP="00B86597">
      <w:pPr>
        <w:pStyle w:val="BBody1"/>
        <w:numPr>
          <w:ilvl w:val="0"/>
          <w:numId w:val="0"/>
        </w:numPr>
        <w:jc w:val="both"/>
      </w:pPr>
      <w:r>
        <w:t xml:space="preserve">I am satisfied, therefore, that appropriate consultations have been carried out and that third parties have had the opportunity to comment on the proposed development </w:t>
      </w:r>
      <w:r w:rsidR="00960325">
        <w:t xml:space="preserve">in </w:t>
      </w:r>
      <w:r>
        <w:t xml:space="preserve">advance of decision making.  </w:t>
      </w:r>
    </w:p>
    <w:p w14:paraId="708ACC99" w14:textId="77777777" w:rsidR="00AC493B" w:rsidRPr="005E4C43" w:rsidRDefault="00AC493B" w:rsidP="005E4C43">
      <w:pPr>
        <w:pStyle w:val="Heading2"/>
        <w:rPr>
          <w:rStyle w:val="CBody2Char"/>
        </w:rPr>
      </w:pPr>
      <w:r w:rsidRPr="00185DC3">
        <w:lastRenderedPageBreak/>
        <w:t>Conclusion on compliance with the requirements of Article 94 and Schedule 6 of the Planning and Development Regulations 2001(as amended</w:t>
      </w:r>
      <w:r w:rsidRPr="001E69F5">
        <w:t>)</w:t>
      </w:r>
    </w:p>
    <w:p w14:paraId="7D150AB5" w14:textId="17CF61B3" w:rsidR="00AC493B" w:rsidRDefault="00AC493B" w:rsidP="00B86597">
      <w:pPr>
        <w:pStyle w:val="BBody1"/>
        <w:numPr>
          <w:ilvl w:val="0"/>
          <w:numId w:val="0"/>
        </w:numPr>
        <w:jc w:val="both"/>
        <w:rPr>
          <w:rStyle w:val="CBody2Char"/>
        </w:rPr>
      </w:pPr>
      <w:r>
        <w:rPr>
          <w:rStyle w:val="CBody2Char"/>
        </w:rPr>
        <w:t>Having regard to the foregoing, I am</w:t>
      </w:r>
      <w:r w:rsidR="00597797">
        <w:rPr>
          <w:rStyle w:val="CBody2Char"/>
        </w:rPr>
        <w:t xml:space="preserve"> </w:t>
      </w:r>
      <w:r>
        <w:rPr>
          <w:rStyle w:val="CBody2Char"/>
        </w:rPr>
        <w:t xml:space="preserve">satisfied that the </w:t>
      </w:r>
      <w:r w:rsidRPr="005D4496">
        <w:rPr>
          <w:rStyle w:val="CBody2Char"/>
        </w:rPr>
        <w:t xml:space="preserve">information contained in the EIAR, and supplementary information provided by the developer </w:t>
      </w:r>
      <w:r>
        <w:rPr>
          <w:rStyle w:val="CBody2Char"/>
        </w:rPr>
        <w:t xml:space="preserve">is sufficient to comply with </w:t>
      </w:r>
      <w:r w:rsidR="00597797">
        <w:rPr>
          <w:rStyle w:val="CBody2Char"/>
        </w:rPr>
        <w:t>A</w:t>
      </w:r>
      <w:r>
        <w:rPr>
          <w:rStyle w:val="CBody2Char"/>
        </w:rPr>
        <w:t>rticle 94 of the Planning and Development Regulations, 2001</w:t>
      </w:r>
      <w:r w:rsidR="00597797">
        <w:rPr>
          <w:rStyle w:val="CBody2Char"/>
        </w:rPr>
        <w:t>(as amended)</w:t>
      </w:r>
      <w:r>
        <w:rPr>
          <w:rStyle w:val="CBody2Char"/>
        </w:rPr>
        <w:t xml:space="preserve">. </w:t>
      </w:r>
    </w:p>
    <w:p w14:paraId="2128A028" w14:textId="77777777" w:rsidR="00065AE2" w:rsidRPr="00186DE6" w:rsidRDefault="00065AE2" w:rsidP="00065AE2">
      <w:pPr>
        <w:pStyle w:val="EHead1"/>
      </w:pPr>
      <w:bookmarkStart w:id="45" w:name="_Toc171346785"/>
      <w:r w:rsidRPr="00186DE6">
        <w:t>Assessment of Likely Significant Effects</w:t>
      </w:r>
      <w:bookmarkEnd w:id="45"/>
    </w:p>
    <w:p w14:paraId="2E94D109" w14:textId="77777777" w:rsidR="00065AE2" w:rsidRDefault="00065AE2" w:rsidP="00205C32">
      <w:pPr>
        <w:pStyle w:val="BBody1"/>
        <w:numPr>
          <w:ilvl w:val="0"/>
          <w:numId w:val="0"/>
        </w:numPr>
        <w:jc w:val="both"/>
      </w:pPr>
      <w:r>
        <w:t>This section of the report sets out an assessment of the likely environmental effects of the proposed development under the following headings, as set out Section 171A of the Planning and Development Act 2000, as amended:</w:t>
      </w:r>
    </w:p>
    <w:p w14:paraId="1E240A15" w14:textId="77777777" w:rsidR="00065AE2" w:rsidRDefault="00065AE2" w:rsidP="00C6208E">
      <w:pPr>
        <w:pStyle w:val="DBodyNonum"/>
        <w:numPr>
          <w:ilvl w:val="0"/>
          <w:numId w:val="39"/>
        </w:numPr>
        <w:ind w:left="714" w:hanging="357"/>
        <w:contextualSpacing/>
      </w:pPr>
      <w:r>
        <w:t>Population and human health.</w:t>
      </w:r>
    </w:p>
    <w:p w14:paraId="67A389DD" w14:textId="77777777" w:rsidR="00065AE2" w:rsidRDefault="00065AE2" w:rsidP="00C6208E">
      <w:pPr>
        <w:pStyle w:val="DBodyNonum"/>
        <w:numPr>
          <w:ilvl w:val="0"/>
          <w:numId w:val="39"/>
        </w:numPr>
        <w:ind w:left="714" w:hanging="357"/>
        <w:contextualSpacing/>
      </w:pPr>
      <w:r>
        <w:t>Biodiversity, with particular attention to the species and habitats protected under the Habitats and Birds Directives (Directive 92/43/EEC and Directive 2009/147/EC respectively).</w:t>
      </w:r>
    </w:p>
    <w:p w14:paraId="07ECD302" w14:textId="77777777" w:rsidR="00065AE2" w:rsidRDefault="00065AE2" w:rsidP="00C6208E">
      <w:pPr>
        <w:pStyle w:val="DBodyNonum"/>
        <w:numPr>
          <w:ilvl w:val="0"/>
          <w:numId w:val="39"/>
        </w:numPr>
        <w:ind w:left="714" w:hanging="357"/>
        <w:contextualSpacing/>
      </w:pPr>
      <w:r>
        <w:t xml:space="preserve">Land, soil, water, </w:t>
      </w:r>
      <w:proofErr w:type="gramStart"/>
      <w:r>
        <w:t>air</w:t>
      </w:r>
      <w:proofErr w:type="gramEnd"/>
      <w:r>
        <w:t xml:space="preserve"> and climate.</w:t>
      </w:r>
    </w:p>
    <w:p w14:paraId="2367A089" w14:textId="77777777" w:rsidR="00065AE2" w:rsidRDefault="00065AE2" w:rsidP="00C6208E">
      <w:pPr>
        <w:pStyle w:val="DBodyNonum"/>
        <w:numPr>
          <w:ilvl w:val="0"/>
          <w:numId w:val="39"/>
        </w:numPr>
        <w:ind w:left="714" w:hanging="357"/>
        <w:contextualSpacing/>
      </w:pPr>
      <w:r>
        <w:t xml:space="preserve">Material assets, cultural </w:t>
      </w:r>
      <w:proofErr w:type="gramStart"/>
      <w:r>
        <w:t>heritage</w:t>
      </w:r>
      <w:proofErr w:type="gramEnd"/>
      <w:r>
        <w:t xml:space="preserve"> and the landscape.</w:t>
      </w:r>
    </w:p>
    <w:p w14:paraId="59867312" w14:textId="77777777" w:rsidR="00065AE2" w:rsidRDefault="00065AE2" w:rsidP="00C6208E">
      <w:pPr>
        <w:pStyle w:val="DBodyNonum"/>
        <w:numPr>
          <w:ilvl w:val="0"/>
          <w:numId w:val="39"/>
        </w:numPr>
        <w:ind w:left="714" w:hanging="357"/>
        <w:contextualSpacing/>
      </w:pPr>
      <w:r>
        <w:t>The interaction between these factors.</w:t>
      </w:r>
    </w:p>
    <w:p w14:paraId="15F96870" w14:textId="77777777" w:rsidR="00065AE2" w:rsidRDefault="00065AE2" w:rsidP="00205C32">
      <w:pPr>
        <w:pStyle w:val="BBody1"/>
        <w:numPr>
          <w:ilvl w:val="0"/>
          <w:numId w:val="0"/>
        </w:numPr>
        <w:jc w:val="both"/>
        <w:rPr>
          <w:rStyle w:val="CBody2Char"/>
        </w:rPr>
      </w:pPr>
      <w:r w:rsidRPr="00B46A5C">
        <w:rPr>
          <w:rStyle w:val="CBody2Char"/>
        </w:rPr>
        <w:t>In accordance with section 171A of the Act, which define</w:t>
      </w:r>
      <w:r>
        <w:rPr>
          <w:rStyle w:val="CBody2Char"/>
        </w:rPr>
        <w:t>s</w:t>
      </w:r>
      <w:r w:rsidRPr="00B46A5C">
        <w:rPr>
          <w:rStyle w:val="CBody2Char"/>
        </w:rPr>
        <w:t xml:space="preserve"> EIA, this assessment includes an examination, </w:t>
      </w:r>
      <w:proofErr w:type="gramStart"/>
      <w:r w:rsidRPr="00B46A5C">
        <w:rPr>
          <w:rStyle w:val="CBody2Char"/>
        </w:rPr>
        <w:t>analysis</w:t>
      </w:r>
      <w:proofErr w:type="gramEnd"/>
      <w:r w:rsidRPr="00B46A5C">
        <w:rPr>
          <w:rStyle w:val="CBody2Char"/>
        </w:rPr>
        <w:t xml:space="preserve"> and evaluation of the application documents, including the EIAR and submissions received</w:t>
      </w:r>
      <w:r>
        <w:rPr>
          <w:rStyle w:val="CBody2Char"/>
        </w:rPr>
        <w:t xml:space="preserve"> and </w:t>
      </w:r>
      <w:r w:rsidRPr="00B46A5C">
        <w:rPr>
          <w:rStyle w:val="CBody2Char"/>
        </w:rPr>
        <w:t>identif</w:t>
      </w:r>
      <w:r>
        <w:rPr>
          <w:rStyle w:val="CBody2Char"/>
        </w:rPr>
        <w:t>ies</w:t>
      </w:r>
      <w:r w:rsidRPr="00B46A5C">
        <w:rPr>
          <w:rStyle w:val="CBody2Char"/>
        </w:rPr>
        <w:t>, describe</w:t>
      </w:r>
      <w:r>
        <w:rPr>
          <w:rStyle w:val="CBody2Char"/>
        </w:rPr>
        <w:t>s</w:t>
      </w:r>
      <w:r w:rsidRPr="00B46A5C">
        <w:rPr>
          <w:rStyle w:val="CBody2Char"/>
        </w:rPr>
        <w:t xml:space="preserve"> and assesses the likely direct and indirect significant effects </w:t>
      </w:r>
      <w:r>
        <w:rPr>
          <w:rStyle w:val="CBody2Char"/>
        </w:rPr>
        <w:t xml:space="preserve">(including cumulative effects) </w:t>
      </w:r>
      <w:r w:rsidRPr="00B46A5C">
        <w:rPr>
          <w:rStyle w:val="CBody2Char"/>
        </w:rPr>
        <w:t xml:space="preserve">of the development on these environmental parameters and the interaction of these.  </w:t>
      </w:r>
      <w:r>
        <w:rPr>
          <w:rStyle w:val="CBody2Char"/>
        </w:rPr>
        <w:t>Each topic section is therefore structured around the following headings:</w:t>
      </w:r>
    </w:p>
    <w:p w14:paraId="1C283D92" w14:textId="77777777" w:rsidR="00065AE2" w:rsidRPr="00D07A30" w:rsidRDefault="00065AE2" w:rsidP="00C6208E">
      <w:pPr>
        <w:pStyle w:val="DBodyNonum"/>
        <w:numPr>
          <w:ilvl w:val="0"/>
          <w:numId w:val="40"/>
        </w:numPr>
        <w:ind w:left="714" w:hanging="357"/>
        <w:contextualSpacing/>
        <w:rPr>
          <w:rStyle w:val="CBody2Char"/>
        </w:rPr>
      </w:pPr>
      <w:r w:rsidRPr="00D07A30">
        <w:rPr>
          <w:rStyle w:val="CBody2Char"/>
        </w:rPr>
        <w:t>Issues raised in the appeal/application.</w:t>
      </w:r>
    </w:p>
    <w:p w14:paraId="4ECEDC4F" w14:textId="77777777" w:rsidR="00065AE2" w:rsidRPr="00D07A30" w:rsidRDefault="00065AE2" w:rsidP="00C6208E">
      <w:pPr>
        <w:pStyle w:val="DBodyNonum"/>
        <w:numPr>
          <w:ilvl w:val="0"/>
          <w:numId w:val="40"/>
        </w:numPr>
        <w:ind w:left="714" w:hanging="357"/>
        <w:contextualSpacing/>
        <w:rPr>
          <w:rStyle w:val="CBody2Char"/>
        </w:rPr>
      </w:pPr>
      <w:r w:rsidRPr="00D07A30">
        <w:rPr>
          <w:rStyle w:val="CBody2Char"/>
        </w:rPr>
        <w:t xml:space="preserve">Examination, </w:t>
      </w:r>
      <w:proofErr w:type="gramStart"/>
      <w:r w:rsidRPr="00D07A30">
        <w:rPr>
          <w:rStyle w:val="CBody2Char"/>
        </w:rPr>
        <w:t>analysis</w:t>
      </w:r>
      <w:proofErr w:type="gramEnd"/>
      <w:r w:rsidRPr="00D07A30">
        <w:rPr>
          <w:rStyle w:val="CBody2Char"/>
        </w:rPr>
        <w:t xml:space="preserve"> and evaluation of the EIAR.</w:t>
      </w:r>
    </w:p>
    <w:p w14:paraId="70E6AD78" w14:textId="77777777" w:rsidR="00065AE2" w:rsidRPr="00D07A30" w:rsidRDefault="00065AE2" w:rsidP="00C6208E">
      <w:pPr>
        <w:pStyle w:val="DBodyNonum"/>
        <w:numPr>
          <w:ilvl w:val="0"/>
          <w:numId w:val="40"/>
        </w:numPr>
        <w:ind w:left="714" w:hanging="357"/>
        <w:contextualSpacing/>
        <w:rPr>
          <w:rStyle w:val="CBody2Char"/>
        </w:rPr>
      </w:pPr>
      <w:r w:rsidRPr="00D07A30">
        <w:rPr>
          <w:rStyle w:val="CBody2Char"/>
        </w:rPr>
        <w:t>The Assessment:  Direct and indirect effects.</w:t>
      </w:r>
    </w:p>
    <w:p w14:paraId="43914B5F" w14:textId="791B14D9" w:rsidR="0022674E" w:rsidRDefault="00065AE2" w:rsidP="00C6208E">
      <w:pPr>
        <w:pStyle w:val="DBodyNonum"/>
        <w:numPr>
          <w:ilvl w:val="0"/>
          <w:numId w:val="40"/>
        </w:numPr>
        <w:ind w:left="714" w:hanging="357"/>
        <w:contextualSpacing/>
        <w:rPr>
          <w:rStyle w:val="CBody2Char"/>
        </w:rPr>
      </w:pPr>
      <w:r w:rsidRPr="00D07A30">
        <w:rPr>
          <w:rStyle w:val="CBody2Char"/>
        </w:rPr>
        <w:t>Conclusion: Direct and indirect effects.</w:t>
      </w:r>
    </w:p>
    <w:p w14:paraId="537343C0" w14:textId="3A33226E" w:rsidR="0022674E" w:rsidRDefault="00D72D3D" w:rsidP="0022674E">
      <w:pPr>
        <w:pStyle w:val="EHead1"/>
      </w:pPr>
      <w:bookmarkStart w:id="46" w:name="_Toc171346786"/>
      <w:r>
        <w:lastRenderedPageBreak/>
        <w:t>Air Quality</w:t>
      </w:r>
      <w:bookmarkEnd w:id="46"/>
    </w:p>
    <w:p w14:paraId="09F7DE12" w14:textId="0EAF1081" w:rsidR="005C552D" w:rsidRPr="005C552D" w:rsidRDefault="009D3347" w:rsidP="005C552D">
      <w:pPr>
        <w:pStyle w:val="Heading2"/>
      </w:pPr>
      <w:r>
        <w:t>Issues Raised</w:t>
      </w:r>
    </w:p>
    <w:p w14:paraId="4C173B6A" w14:textId="68A973F1" w:rsidR="00FD7D61" w:rsidRDefault="00741496" w:rsidP="00A779F9">
      <w:pPr>
        <w:pStyle w:val="BBody1"/>
        <w:numPr>
          <w:ilvl w:val="0"/>
          <w:numId w:val="0"/>
        </w:numPr>
        <w:jc w:val="both"/>
      </w:pPr>
      <w:r w:rsidRPr="00741496">
        <w:t>Tarbert Development Association were supportive of the proposed OCGT as emissions should be greatly reduced as the Plant will only operate at times when power from renewable sources is not able to meet demand.</w:t>
      </w:r>
    </w:p>
    <w:p w14:paraId="7515853C" w14:textId="0CB81B28" w:rsidR="000E07C5" w:rsidRDefault="000E07C5" w:rsidP="00A779F9">
      <w:pPr>
        <w:pStyle w:val="BBody1"/>
        <w:numPr>
          <w:ilvl w:val="0"/>
          <w:numId w:val="0"/>
        </w:numPr>
        <w:jc w:val="both"/>
      </w:pPr>
      <w:r>
        <w:t>The H</w:t>
      </w:r>
      <w:r w:rsidR="009D6C09">
        <w:t>SE recommends that dust control measures are implemented within the CEMP</w:t>
      </w:r>
      <w:r w:rsidR="00F8203C">
        <w:t xml:space="preserve"> (Section 7.5.1.3 of EIAR) and that this should be conditioned with any grant of permission.</w:t>
      </w:r>
    </w:p>
    <w:p w14:paraId="5A24E512" w14:textId="68929B4F" w:rsidR="00145846" w:rsidRPr="00302D10" w:rsidRDefault="00302D10" w:rsidP="00ED76FF">
      <w:pPr>
        <w:pStyle w:val="Heading3"/>
      </w:pPr>
      <w:r w:rsidRPr="00302D10">
        <w:t>Context</w:t>
      </w:r>
    </w:p>
    <w:p w14:paraId="324F22CE" w14:textId="28D5589A" w:rsidR="00FD7D61" w:rsidRDefault="00750003" w:rsidP="00985F7B">
      <w:pPr>
        <w:pStyle w:val="BBody1"/>
        <w:numPr>
          <w:ilvl w:val="0"/>
          <w:numId w:val="0"/>
        </w:numPr>
        <w:jc w:val="both"/>
      </w:pPr>
      <w:r>
        <w:t>Air</w:t>
      </w:r>
      <w:r w:rsidR="005669FD">
        <w:t xml:space="preserve"> Quality is addressed in Chapter 7 of the EIAR, Volume </w:t>
      </w:r>
      <w:r w:rsidR="00622D8B">
        <w:t>I</w:t>
      </w:r>
      <w:r w:rsidR="00D80874">
        <w:t xml:space="preserve"> and Figures 7.1 to </w:t>
      </w:r>
      <w:r w:rsidR="00622D8B">
        <w:t>7.12 in Volume III.</w:t>
      </w:r>
      <w:r w:rsidR="000D1067">
        <w:t xml:space="preserve">  Chapter 7 sets out the Methodology, Regulatory and Policy Framework</w:t>
      </w:r>
      <w:r w:rsidR="00985F7B">
        <w:t>, Baseline Environmental Conditions, Potential Impacts</w:t>
      </w:r>
      <w:r w:rsidR="00CD3721">
        <w:t xml:space="preserve"> and</w:t>
      </w:r>
      <w:r w:rsidR="00985F7B">
        <w:t xml:space="preserve"> </w:t>
      </w:r>
      <w:r w:rsidR="00CD3721">
        <w:t>Cumulative Impacts.</w:t>
      </w:r>
      <w:r w:rsidR="003F5765">
        <w:t xml:space="preserve">  Th</w:t>
      </w:r>
      <w:r w:rsidR="00771093">
        <w:t>e</w:t>
      </w:r>
      <w:r w:rsidR="003F5765">
        <w:t xml:space="preserve"> </w:t>
      </w:r>
      <w:r w:rsidR="0016783A">
        <w:t xml:space="preserve">chapter was prepared in accordance with the Institute of Air Quality Management </w:t>
      </w:r>
      <w:r w:rsidR="008A1CF2">
        <w:t>Guidance</w:t>
      </w:r>
      <w:r w:rsidR="009E7F0B">
        <w:t xml:space="preserve"> </w:t>
      </w:r>
      <w:r w:rsidR="0016783A">
        <w:t>(IAQM)</w:t>
      </w:r>
      <w:r w:rsidR="00771093">
        <w:t>.</w:t>
      </w:r>
      <w:r w:rsidR="00C87F9A">
        <w:t xml:space="preserve">  The EIAR notes that it is intended that significant adverse environmental effects are avoided at the design stage and through embedded mitigation where possible</w:t>
      </w:r>
      <w:r w:rsidR="002D0B7A">
        <w:t>, including the use of good working practices to control dust emissions at source.</w:t>
      </w:r>
      <w:r w:rsidR="00FB3674">
        <w:t xml:space="preserve">  </w:t>
      </w:r>
      <w:r w:rsidR="00786437">
        <w:t xml:space="preserve">The </w:t>
      </w:r>
      <w:r w:rsidR="00835D65">
        <w:t>EU’s Industrial Emissions Directive (2010/75/EU)</w:t>
      </w:r>
      <w:r w:rsidR="00786437">
        <w:t xml:space="preserve"> will apply to the applicable combustion plant associated with the Proposed Development. The EPA is the statutory body responsible for issuing and enforcing Industrial Emissions Licences (IELs). The operator will be required to obtain an IEL from the EPA for the proposed Open Cycle Gas Turbine (OCGT) power plant; this is expected to be through a licence modification. </w:t>
      </w:r>
    </w:p>
    <w:p w14:paraId="5BC684B0" w14:textId="03814E9E" w:rsidR="006D6685" w:rsidRPr="00302D10" w:rsidRDefault="006D6685" w:rsidP="006D6685">
      <w:pPr>
        <w:pStyle w:val="Heading3"/>
      </w:pPr>
      <w:r>
        <w:t>Baseline</w:t>
      </w:r>
    </w:p>
    <w:p w14:paraId="3C82C903" w14:textId="663AB43A" w:rsidR="00C5552C" w:rsidRPr="007F47DC" w:rsidRDefault="004F253E" w:rsidP="00C5552C">
      <w:pPr>
        <w:pStyle w:val="BBody1"/>
        <w:numPr>
          <w:ilvl w:val="0"/>
          <w:numId w:val="0"/>
        </w:numPr>
        <w:jc w:val="both"/>
      </w:pPr>
      <w:r>
        <w:t xml:space="preserve">The baseline environment is described in Section </w:t>
      </w:r>
      <w:r w:rsidR="00940E2B">
        <w:t xml:space="preserve">7.4 of the EIAR.  </w:t>
      </w:r>
      <w:r w:rsidR="009E7F0B">
        <w:t>EU</w:t>
      </w:r>
      <w:r w:rsidR="00871433" w:rsidRPr="001458BC">
        <w:t xml:space="preserve"> </w:t>
      </w:r>
      <w:r w:rsidR="00FC039B">
        <w:t>legislation on air quality requ</w:t>
      </w:r>
      <w:r w:rsidR="00C23934">
        <w:t>ires that Member States divide their territory into zones for assessment and management of air quality.</w:t>
      </w:r>
      <w:r w:rsidR="00522C9B">
        <w:t xml:space="preserve"> </w:t>
      </w:r>
      <w:r w:rsidR="00DA0C4B">
        <w:t xml:space="preserve">All receptors used within the assessment </w:t>
      </w:r>
      <w:proofErr w:type="gramStart"/>
      <w:r w:rsidR="00DA0C4B">
        <w:t xml:space="preserve">are </w:t>
      </w:r>
      <w:r w:rsidR="007D2C48">
        <w:t>located in</w:t>
      </w:r>
      <w:proofErr w:type="gramEnd"/>
      <w:r w:rsidR="007D2C48">
        <w:t xml:space="preserve"> Air Quality </w:t>
      </w:r>
      <w:r w:rsidR="00DA0C4B">
        <w:t>Zone D</w:t>
      </w:r>
      <w:r w:rsidR="00D648AC">
        <w:t xml:space="preserve">, which is used to represent rural </w:t>
      </w:r>
      <w:r w:rsidR="00F719BD">
        <w:t>locations</w:t>
      </w:r>
      <w:r w:rsidR="007D2C48">
        <w:t xml:space="preserve">.  </w:t>
      </w:r>
      <w:r w:rsidR="00CC5609">
        <w:t xml:space="preserve">The EIAR notes that the assessment includes </w:t>
      </w:r>
      <w:r w:rsidR="00F719BD">
        <w:t xml:space="preserve">existing sources of pollution such as </w:t>
      </w:r>
      <w:r w:rsidR="00CC5609">
        <w:t>Tarbert HFO Power Station</w:t>
      </w:r>
      <w:r w:rsidR="00F719BD">
        <w:t>,</w:t>
      </w:r>
      <w:r w:rsidR="00CC5609">
        <w:t xml:space="preserve"> which </w:t>
      </w:r>
      <w:r w:rsidR="00AF1DE3">
        <w:t xml:space="preserve">will be decommissioned after December 2023 and hence, the </w:t>
      </w:r>
      <w:r w:rsidR="00AF1DE3">
        <w:lastRenderedPageBreak/>
        <w:t>background pollutant concentrations are likely to be an over-estimate.</w:t>
      </w:r>
      <w:r w:rsidR="002A3396">
        <w:t xml:space="preserve">  The assessment presents a </w:t>
      </w:r>
      <w:r w:rsidR="007D2C48">
        <w:t>worst-case</w:t>
      </w:r>
      <w:r w:rsidR="008A1CF2">
        <w:t xml:space="preserve"> scenario</w:t>
      </w:r>
      <w:r w:rsidR="002A3396">
        <w:t xml:space="preserve"> of air pollution with the Proposed Development.</w:t>
      </w:r>
      <w:r w:rsidR="008A1CF2">
        <w:t xml:space="preserve"> </w:t>
      </w:r>
      <w:r w:rsidR="007D2C48">
        <w:t xml:space="preserve"> </w:t>
      </w:r>
      <w:r w:rsidR="009E20D0">
        <w:t>Following assessment, a</w:t>
      </w:r>
      <w:r w:rsidR="00F00E67">
        <w:t>n optimal</w:t>
      </w:r>
      <w:r w:rsidR="009E20D0">
        <w:t xml:space="preserve"> </w:t>
      </w:r>
      <w:r w:rsidR="00E83813">
        <w:t>stack height</w:t>
      </w:r>
      <w:r w:rsidR="009E20D0">
        <w:t xml:space="preserve"> of 55m is proposed for the proposed OCGT</w:t>
      </w:r>
      <w:r w:rsidR="00756B13">
        <w:t>. (See Plate 7.3)</w:t>
      </w:r>
      <w:r w:rsidR="00E83813">
        <w:t xml:space="preserve"> </w:t>
      </w:r>
    </w:p>
    <w:p w14:paraId="0E669F5D" w14:textId="5DA93086" w:rsidR="00F2271D" w:rsidRDefault="00F2271D" w:rsidP="00A51D86">
      <w:pPr>
        <w:pStyle w:val="Heading2"/>
      </w:pPr>
      <w:r>
        <w:t>Potential Effects</w:t>
      </w:r>
    </w:p>
    <w:p w14:paraId="203BF38F" w14:textId="2D122C0B" w:rsidR="00EC334B" w:rsidRPr="00EB28E7" w:rsidRDefault="00E10034" w:rsidP="00EB28E7">
      <w:pPr>
        <w:jc w:val="both"/>
        <w:rPr>
          <w:rFonts w:ascii="Arial" w:hAnsi="Arial" w:cs="Arial"/>
          <w:sz w:val="24"/>
          <w:szCs w:val="24"/>
        </w:rPr>
      </w:pPr>
      <w:r w:rsidRPr="00E10034">
        <w:rPr>
          <w:rFonts w:ascii="Arial" w:hAnsi="Arial" w:cs="Arial"/>
          <w:sz w:val="24"/>
          <w:szCs w:val="24"/>
        </w:rPr>
        <w:t xml:space="preserve">Likely significant effects of the development, as identified in the EIAR are summarised in Table </w:t>
      </w:r>
      <w:proofErr w:type="gramStart"/>
      <w:r w:rsidRPr="00E10034">
        <w:rPr>
          <w:rFonts w:ascii="Arial" w:hAnsi="Arial" w:cs="Arial"/>
          <w:sz w:val="24"/>
          <w:szCs w:val="24"/>
        </w:rPr>
        <w:t>8.1</w:t>
      </w:r>
      <w:r w:rsidR="00EC334B">
        <w:rPr>
          <w:rFonts w:ascii="Arial" w:hAnsi="Arial" w:cs="Arial"/>
          <w:sz w:val="24"/>
          <w:szCs w:val="24"/>
        </w:rPr>
        <w:t>;</w:t>
      </w:r>
      <w:proofErr w:type="gramEnd"/>
    </w:p>
    <w:tbl>
      <w:tblPr>
        <w:tblStyle w:val="TableGrid"/>
        <w:tblW w:w="0" w:type="auto"/>
        <w:tblLook w:val="04A0" w:firstRow="1" w:lastRow="0" w:firstColumn="1" w:lastColumn="0" w:noHBand="0" w:noVBand="1"/>
      </w:tblPr>
      <w:tblGrid>
        <w:gridCol w:w="9016"/>
      </w:tblGrid>
      <w:tr w:rsidR="006309F0" w:rsidRPr="00E10034" w14:paraId="435F14C5" w14:textId="77777777" w:rsidTr="002F0ECA">
        <w:tc>
          <w:tcPr>
            <w:tcW w:w="9016" w:type="dxa"/>
            <w:shd w:val="clear" w:color="auto" w:fill="BFBFBF" w:themeFill="background1" w:themeFillShade="BF"/>
          </w:tcPr>
          <w:p w14:paraId="340BCA5D" w14:textId="392C45DE" w:rsidR="006309F0" w:rsidRPr="004C27B1" w:rsidRDefault="006309F0" w:rsidP="00B65CD1">
            <w:pPr>
              <w:tabs>
                <w:tab w:val="center" w:pos="4400"/>
              </w:tabs>
              <w:jc w:val="both"/>
              <w:rPr>
                <w:rFonts w:ascii="Arial" w:hAnsi="Arial" w:cs="Arial"/>
                <w:b/>
                <w:bCs/>
              </w:rPr>
            </w:pPr>
            <w:r w:rsidRPr="004C27B1">
              <w:rPr>
                <w:rFonts w:ascii="Arial" w:hAnsi="Arial" w:cs="Arial"/>
                <w:b/>
                <w:bCs/>
              </w:rPr>
              <w:t>Table 8.1:  Summary of Potential Effects</w:t>
            </w:r>
            <w:r w:rsidR="002F0ECA" w:rsidRPr="004C27B1">
              <w:rPr>
                <w:rFonts w:ascii="Arial" w:hAnsi="Arial" w:cs="Arial"/>
                <w:b/>
                <w:bCs/>
              </w:rPr>
              <w:t xml:space="preserve"> </w:t>
            </w:r>
            <w:r w:rsidR="005B569E" w:rsidRPr="004C27B1">
              <w:rPr>
                <w:rFonts w:ascii="Arial" w:hAnsi="Arial" w:cs="Arial"/>
                <w:b/>
                <w:bCs/>
              </w:rPr>
              <w:t>(Air Quality)</w:t>
            </w:r>
          </w:p>
        </w:tc>
      </w:tr>
      <w:tr w:rsidR="00757D62" w:rsidRPr="00E10034" w14:paraId="33BA301B" w14:textId="77777777" w:rsidTr="002F0ECA">
        <w:tc>
          <w:tcPr>
            <w:tcW w:w="9016" w:type="dxa"/>
            <w:shd w:val="clear" w:color="auto" w:fill="D9D9D9" w:themeFill="background1" w:themeFillShade="D9"/>
          </w:tcPr>
          <w:p w14:paraId="45178E48" w14:textId="00A8DD24" w:rsidR="00757D62" w:rsidRPr="004C27B1" w:rsidRDefault="00757D62" w:rsidP="00B65CD1">
            <w:pPr>
              <w:tabs>
                <w:tab w:val="center" w:pos="4400"/>
              </w:tabs>
              <w:jc w:val="both"/>
              <w:rPr>
                <w:rFonts w:ascii="Arial" w:hAnsi="Arial" w:cs="Arial"/>
              </w:rPr>
            </w:pPr>
            <w:r w:rsidRPr="004C27B1">
              <w:rPr>
                <w:rFonts w:ascii="Arial" w:hAnsi="Arial" w:cs="Arial"/>
                <w:b/>
                <w:bCs/>
              </w:rPr>
              <w:t>Do Nothing</w:t>
            </w:r>
            <w:r w:rsidR="006309F0" w:rsidRPr="004C27B1">
              <w:rPr>
                <w:rFonts w:ascii="Arial" w:hAnsi="Arial" w:cs="Arial"/>
                <w:b/>
                <w:bCs/>
              </w:rPr>
              <w:tab/>
            </w:r>
          </w:p>
        </w:tc>
      </w:tr>
      <w:tr w:rsidR="00757D62" w:rsidRPr="00E10034" w14:paraId="13FFCF86" w14:textId="77777777" w:rsidTr="00C16FDA">
        <w:tc>
          <w:tcPr>
            <w:tcW w:w="9016" w:type="dxa"/>
          </w:tcPr>
          <w:p w14:paraId="76E6EC2F" w14:textId="01111084" w:rsidR="00757D62" w:rsidRPr="004C27B1" w:rsidRDefault="00757D62" w:rsidP="00C6208E">
            <w:pPr>
              <w:pStyle w:val="ListParagraph"/>
              <w:numPr>
                <w:ilvl w:val="0"/>
                <w:numId w:val="41"/>
              </w:numPr>
              <w:spacing w:after="0" w:line="240" w:lineRule="auto"/>
              <w:jc w:val="both"/>
              <w:rPr>
                <w:sz w:val="22"/>
                <w:szCs w:val="22"/>
              </w:rPr>
            </w:pPr>
            <w:r w:rsidRPr="004C27B1">
              <w:rPr>
                <w:sz w:val="22"/>
                <w:szCs w:val="22"/>
              </w:rPr>
              <w:t xml:space="preserve">Not examined in EIAR.  </w:t>
            </w:r>
          </w:p>
        </w:tc>
      </w:tr>
      <w:tr w:rsidR="00757D62" w:rsidRPr="00E10034" w14:paraId="42175224" w14:textId="77777777" w:rsidTr="002F0ECA">
        <w:tc>
          <w:tcPr>
            <w:tcW w:w="9016" w:type="dxa"/>
            <w:shd w:val="clear" w:color="auto" w:fill="D9D9D9" w:themeFill="background1" w:themeFillShade="D9"/>
          </w:tcPr>
          <w:p w14:paraId="3123B659" w14:textId="2E9BCA80" w:rsidR="00757D62" w:rsidRPr="004C27B1" w:rsidRDefault="00757D62" w:rsidP="00B65CD1">
            <w:pPr>
              <w:jc w:val="both"/>
              <w:rPr>
                <w:rFonts w:ascii="Arial" w:hAnsi="Arial" w:cs="Arial"/>
              </w:rPr>
            </w:pPr>
            <w:r w:rsidRPr="004C27B1">
              <w:rPr>
                <w:rFonts w:ascii="Arial" w:hAnsi="Arial" w:cs="Arial"/>
                <w:b/>
                <w:bCs/>
              </w:rPr>
              <w:t>Construction</w:t>
            </w:r>
          </w:p>
        </w:tc>
      </w:tr>
      <w:tr w:rsidR="00757D62" w:rsidRPr="00E10034" w14:paraId="7A71782E" w14:textId="77777777" w:rsidTr="006075A9">
        <w:tc>
          <w:tcPr>
            <w:tcW w:w="9016" w:type="dxa"/>
          </w:tcPr>
          <w:p w14:paraId="73DBAEAB" w14:textId="479CC9A7" w:rsidR="008158E9" w:rsidRPr="004C27B1" w:rsidRDefault="008158E9" w:rsidP="00B65CD1">
            <w:pPr>
              <w:jc w:val="both"/>
              <w:rPr>
                <w:rFonts w:ascii="Arial" w:hAnsi="Arial" w:cs="Arial"/>
                <w:u w:val="single"/>
              </w:rPr>
            </w:pPr>
            <w:r w:rsidRPr="004C27B1">
              <w:rPr>
                <w:rFonts w:ascii="Arial" w:hAnsi="Arial" w:cs="Arial"/>
                <w:b/>
                <w:bCs/>
                <w:u w:val="single"/>
              </w:rPr>
              <w:t>Construction Dust</w:t>
            </w:r>
          </w:p>
          <w:p w14:paraId="1D72389C" w14:textId="1FDAA48D" w:rsidR="00757D62" w:rsidRPr="004C27B1" w:rsidRDefault="00757D62" w:rsidP="00C6208E">
            <w:pPr>
              <w:pStyle w:val="ListParagraph"/>
              <w:numPr>
                <w:ilvl w:val="0"/>
                <w:numId w:val="41"/>
              </w:numPr>
              <w:spacing w:after="0" w:line="240" w:lineRule="auto"/>
              <w:jc w:val="both"/>
              <w:rPr>
                <w:sz w:val="22"/>
                <w:szCs w:val="22"/>
              </w:rPr>
            </w:pPr>
            <w:r w:rsidRPr="004C27B1">
              <w:rPr>
                <w:sz w:val="22"/>
                <w:szCs w:val="22"/>
              </w:rPr>
              <w:t xml:space="preserve">Table 7.15 of EIAR indicates that the dust emission magnitudes have been defined as </w:t>
            </w:r>
            <w:r w:rsidR="008A1CF2">
              <w:rPr>
                <w:sz w:val="22"/>
                <w:szCs w:val="22"/>
              </w:rPr>
              <w:t>‘</w:t>
            </w:r>
            <w:r w:rsidRPr="004C27B1">
              <w:rPr>
                <w:sz w:val="22"/>
                <w:szCs w:val="22"/>
              </w:rPr>
              <w:t>small</w:t>
            </w:r>
            <w:r w:rsidR="008A1CF2">
              <w:rPr>
                <w:sz w:val="22"/>
                <w:szCs w:val="22"/>
              </w:rPr>
              <w:t>’</w:t>
            </w:r>
            <w:r w:rsidRPr="004C27B1">
              <w:rPr>
                <w:sz w:val="22"/>
                <w:szCs w:val="22"/>
              </w:rPr>
              <w:t xml:space="preserve"> for demolition, earthworks, construction and trackout.  Demolition will be minimal and not a potentially dusty material, earthworks will take place in a small area on a large site, total building volume is small and prefabricated modules, minimising potentially dusty materials on site and a small number of HDV trips is anticipated and most will occur on paved roads.</w:t>
            </w:r>
          </w:p>
          <w:p w14:paraId="1362801B" w14:textId="4D976EB6" w:rsidR="00757D62" w:rsidRPr="004C27B1" w:rsidRDefault="00757D62" w:rsidP="00C6208E">
            <w:pPr>
              <w:pStyle w:val="ListParagraph"/>
              <w:numPr>
                <w:ilvl w:val="0"/>
                <w:numId w:val="41"/>
              </w:numPr>
              <w:spacing w:after="0" w:line="240" w:lineRule="auto"/>
              <w:jc w:val="both"/>
              <w:rPr>
                <w:sz w:val="22"/>
                <w:szCs w:val="22"/>
              </w:rPr>
            </w:pPr>
            <w:r w:rsidRPr="004C27B1">
              <w:rPr>
                <w:sz w:val="22"/>
                <w:szCs w:val="22"/>
              </w:rPr>
              <w:t xml:space="preserve">The risk of impacts from dust soiling and human health caused by unmitigated activities in presented in </w:t>
            </w:r>
            <w:r w:rsidR="00FC40EB" w:rsidRPr="004C27B1">
              <w:rPr>
                <w:sz w:val="22"/>
                <w:szCs w:val="22"/>
              </w:rPr>
              <w:t>Table 7.16</w:t>
            </w:r>
            <w:r w:rsidRPr="004C27B1">
              <w:rPr>
                <w:sz w:val="22"/>
                <w:szCs w:val="22"/>
              </w:rPr>
              <w:t xml:space="preserve"> of the EIAR.</w:t>
            </w:r>
          </w:p>
          <w:p w14:paraId="5304CE76" w14:textId="629F9254" w:rsidR="00757D62" w:rsidRPr="004C27B1" w:rsidRDefault="00757D62" w:rsidP="00C6208E">
            <w:pPr>
              <w:pStyle w:val="ListParagraph"/>
              <w:numPr>
                <w:ilvl w:val="0"/>
                <w:numId w:val="41"/>
              </w:numPr>
              <w:spacing w:after="0" w:line="240" w:lineRule="auto"/>
              <w:jc w:val="both"/>
              <w:rPr>
                <w:sz w:val="22"/>
                <w:szCs w:val="22"/>
              </w:rPr>
            </w:pPr>
            <w:r w:rsidRPr="004C27B1">
              <w:rPr>
                <w:sz w:val="22"/>
                <w:szCs w:val="22"/>
              </w:rPr>
              <w:t>The risk assessment for construction dust indicates that there would be negligible to low risk of unmitigated dust impacts on human health and a negligible risk for dust soiling from unmitigated activities for the Proposed Development.</w:t>
            </w:r>
          </w:p>
        </w:tc>
      </w:tr>
      <w:tr w:rsidR="00E810D9" w:rsidRPr="00E10034" w14:paraId="49F92A85" w14:textId="77777777" w:rsidTr="00E810D9">
        <w:tc>
          <w:tcPr>
            <w:tcW w:w="9016" w:type="dxa"/>
            <w:shd w:val="clear" w:color="auto" w:fill="D9D9D9" w:themeFill="background1" w:themeFillShade="D9"/>
          </w:tcPr>
          <w:p w14:paraId="3CD4C793" w14:textId="660D4E23" w:rsidR="00E810D9" w:rsidRPr="004C27B1" w:rsidRDefault="00E810D9" w:rsidP="00B65CD1">
            <w:pPr>
              <w:jc w:val="both"/>
              <w:rPr>
                <w:rFonts w:ascii="Arial" w:hAnsi="Arial" w:cs="Arial"/>
              </w:rPr>
            </w:pPr>
            <w:r w:rsidRPr="004C27B1">
              <w:rPr>
                <w:rFonts w:ascii="Arial" w:hAnsi="Arial" w:cs="Arial"/>
                <w:b/>
                <w:bCs/>
              </w:rPr>
              <w:t>Operation</w:t>
            </w:r>
            <w:r w:rsidR="008C6BC7" w:rsidRPr="004C27B1">
              <w:rPr>
                <w:rFonts w:ascii="Arial" w:hAnsi="Arial" w:cs="Arial"/>
                <w:b/>
                <w:bCs/>
              </w:rPr>
              <w:t>al</w:t>
            </w:r>
            <w:r w:rsidR="00775FCF" w:rsidRPr="004C27B1">
              <w:rPr>
                <w:rFonts w:ascii="Arial" w:hAnsi="Arial" w:cs="Arial"/>
                <w:b/>
                <w:bCs/>
              </w:rPr>
              <w:t xml:space="preserve"> Impacts</w:t>
            </w:r>
          </w:p>
        </w:tc>
      </w:tr>
      <w:tr w:rsidR="00B72946" w:rsidRPr="00E10034" w14:paraId="38F0C1E5" w14:textId="77777777" w:rsidTr="00F450B3">
        <w:tc>
          <w:tcPr>
            <w:tcW w:w="9016" w:type="dxa"/>
          </w:tcPr>
          <w:p w14:paraId="5E82AE31" w14:textId="29C6FCC8" w:rsidR="00151BAE" w:rsidRPr="004C27B1" w:rsidRDefault="00DC0CCE" w:rsidP="00151BAE">
            <w:pPr>
              <w:jc w:val="both"/>
              <w:rPr>
                <w:rFonts w:ascii="Arial" w:hAnsi="Arial" w:cs="Arial"/>
                <w:b/>
                <w:bCs/>
                <w:u w:val="single"/>
              </w:rPr>
            </w:pPr>
            <w:r w:rsidRPr="004C27B1">
              <w:rPr>
                <w:rFonts w:ascii="Arial" w:hAnsi="Arial" w:cs="Arial"/>
                <w:b/>
                <w:bCs/>
                <w:u w:val="single"/>
              </w:rPr>
              <w:t>Operational</w:t>
            </w:r>
            <w:r w:rsidR="00151BAE" w:rsidRPr="004C27B1">
              <w:rPr>
                <w:rFonts w:ascii="Arial" w:hAnsi="Arial" w:cs="Arial"/>
                <w:b/>
                <w:bCs/>
                <w:u w:val="single"/>
              </w:rPr>
              <w:t xml:space="preserve"> Phase Emissions Assessment (</w:t>
            </w:r>
            <w:r w:rsidRPr="004C27B1">
              <w:rPr>
                <w:rFonts w:ascii="Arial" w:hAnsi="Arial" w:cs="Arial"/>
                <w:b/>
                <w:bCs/>
                <w:u w:val="single"/>
              </w:rPr>
              <w:t>7.3.3 of EIAR)</w:t>
            </w:r>
          </w:p>
          <w:p w14:paraId="0DD126F8" w14:textId="26EC9E53" w:rsidR="00A05FD2" w:rsidRPr="004C27B1" w:rsidRDefault="00977A49" w:rsidP="00C6208E">
            <w:pPr>
              <w:pStyle w:val="ListParagraph"/>
              <w:numPr>
                <w:ilvl w:val="0"/>
                <w:numId w:val="42"/>
              </w:numPr>
              <w:spacing w:after="0" w:line="240" w:lineRule="auto"/>
              <w:jc w:val="both"/>
              <w:rPr>
                <w:sz w:val="22"/>
                <w:szCs w:val="22"/>
              </w:rPr>
            </w:pPr>
            <w:r w:rsidRPr="004C27B1">
              <w:rPr>
                <w:sz w:val="22"/>
                <w:szCs w:val="22"/>
              </w:rPr>
              <w:t xml:space="preserve">The assessment has quantified the contribution of emissions from the proposed OCGT generator to pollutant concentrations at 15 human health sensitive receptors and pollutant concentrations and deposition rates at 15 ecological sensitive receptors within the model domain. These receptors are shown in Figure 7.3 and Figure 7.4 (refer to EIAR Volume III). </w:t>
            </w:r>
          </w:p>
          <w:p w14:paraId="43976840" w14:textId="3A4EF7A4" w:rsidR="00977A49" w:rsidRPr="004C27B1" w:rsidRDefault="00977A49" w:rsidP="00C6208E">
            <w:pPr>
              <w:pStyle w:val="ListParagraph"/>
              <w:numPr>
                <w:ilvl w:val="0"/>
                <w:numId w:val="42"/>
              </w:numPr>
              <w:spacing w:after="0" w:line="240" w:lineRule="auto"/>
              <w:jc w:val="both"/>
              <w:rPr>
                <w:sz w:val="22"/>
                <w:szCs w:val="22"/>
              </w:rPr>
            </w:pPr>
            <w:r w:rsidRPr="004C27B1">
              <w:rPr>
                <w:sz w:val="22"/>
                <w:szCs w:val="22"/>
              </w:rPr>
              <w:t xml:space="preserve">The contribution has been compared to relevant </w:t>
            </w:r>
            <w:r w:rsidR="00091DEB" w:rsidRPr="004C27B1">
              <w:rPr>
                <w:sz w:val="22"/>
                <w:szCs w:val="22"/>
              </w:rPr>
              <w:t>Environmental Assessment Level</w:t>
            </w:r>
            <w:r w:rsidR="00BE7371" w:rsidRPr="004C27B1">
              <w:rPr>
                <w:sz w:val="22"/>
                <w:szCs w:val="22"/>
              </w:rPr>
              <w:t>s</w:t>
            </w:r>
            <w:r w:rsidR="00091DEB" w:rsidRPr="004C27B1">
              <w:rPr>
                <w:sz w:val="22"/>
                <w:szCs w:val="22"/>
              </w:rPr>
              <w:t xml:space="preserve"> </w:t>
            </w:r>
            <w:r w:rsidR="00BE7371" w:rsidRPr="004C27B1">
              <w:rPr>
                <w:sz w:val="22"/>
                <w:szCs w:val="22"/>
              </w:rPr>
              <w:t>(</w:t>
            </w:r>
            <w:r w:rsidRPr="004C27B1">
              <w:rPr>
                <w:sz w:val="22"/>
                <w:szCs w:val="22"/>
              </w:rPr>
              <w:t>EALs</w:t>
            </w:r>
            <w:r w:rsidR="00BE7371" w:rsidRPr="004C27B1">
              <w:rPr>
                <w:sz w:val="22"/>
                <w:szCs w:val="22"/>
              </w:rPr>
              <w:t>)</w:t>
            </w:r>
            <w:r w:rsidRPr="004C27B1">
              <w:rPr>
                <w:sz w:val="22"/>
                <w:szCs w:val="22"/>
              </w:rPr>
              <w:t xml:space="preserve"> to determine the magnitude of impact. The pollutant contribution to pollutant concentrations and deposition rates has been added to the background contribution to provide an estimate of total pollutant concentrations and deposition rates. </w:t>
            </w:r>
          </w:p>
          <w:p w14:paraId="78D9584F" w14:textId="2D5AAD02" w:rsidR="00E632C6" w:rsidRPr="004C27B1" w:rsidRDefault="00E632C6" w:rsidP="00C6208E">
            <w:pPr>
              <w:pStyle w:val="ListParagraph"/>
              <w:numPr>
                <w:ilvl w:val="0"/>
                <w:numId w:val="42"/>
              </w:numPr>
              <w:spacing w:after="0" w:line="240" w:lineRule="auto"/>
              <w:jc w:val="both"/>
              <w:rPr>
                <w:sz w:val="22"/>
                <w:szCs w:val="22"/>
              </w:rPr>
            </w:pPr>
            <w:r w:rsidRPr="004C27B1">
              <w:rPr>
                <w:sz w:val="22"/>
                <w:szCs w:val="22"/>
              </w:rPr>
              <w:t>In th</w:t>
            </w:r>
            <w:r w:rsidR="005D7FEE" w:rsidRPr="004C27B1">
              <w:rPr>
                <w:sz w:val="22"/>
                <w:szCs w:val="22"/>
              </w:rPr>
              <w:t>e</w:t>
            </w:r>
            <w:r w:rsidRPr="004C27B1">
              <w:rPr>
                <w:sz w:val="22"/>
                <w:szCs w:val="22"/>
              </w:rPr>
              <w:t xml:space="preserve"> assessment two scenarios are modelled, the first scenario assesses the potential impact from sources from the Proposed Development, which is limited to the proposed OCGT, at the proposed 1800 hours of operation annually, operating at 100% load. Pollutants emissions included in the assessment</w:t>
            </w:r>
            <w:r w:rsidR="004536AA" w:rsidRPr="004C27B1">
              <w:rPr>
                <w:sz w:val="22"/>
                <w:szCs w:val="22"/>
              </w:rPr>
              <w:t xml:space="preserve"> </w:t>
            </w:r>
            <w:r w:rsidRPr="004C27B1">
              <w:rPr>
                <w:sz w:val="22"/>
                <w:szCs w:val="22"/>
              </w:rPr>
              <w:t xml:space="preserve">are NOX, CO, </w:t>
            </w:r>
            <w:proofErr w:type="spellStart"/>
            <w:r w:rsidRPr="004C27B1">
              <w:rPr>
                <w:sz w:val="22"/>
                <w:szCs w:val="22"/>
              </w:rPr>
              <w:t>SOx</w:t>
            </w:r>
            <w:proofErr w:type="spellEnd"/>
            <w:r w:rsidRPr="004C27B1">
              <w:rPr>
                <w:sz w:val="22"/>
                <w:szCs w:val="22"/>
              </w:rPr>
              <w:t>, particulates and NH3</w:t>
            </w:r>
            <w:r w:rsidR="008E2B21">
              <w:rPr>
                <w:sz w:val="22"/>
                <w:szCs w:val="22"/>
              </w:rPr>
              <w:t>.</w:t>
            </w:r>
            <w:r w:rsidRPr="004C27B1">
              <w:rPr>
                <w:sz w:val="22"/>
                <w:szCs w:val="22"/>
              </w:rPr>
              <w:t xml:space="preserve"> This scenario is referred to as the Proposed Development Scenario.</w:t>
            </w:r>
            <w:r w:rsidR="00AA7EDD" w:rsidRPr="004C27B1">
              <w:rPr>
                <w:sz w:val="22"/>
                <w:szCs w:val="22"/>
              </w:rPr>
              <w:t xml:space="preserve"> (as presented in Section 7.3.3.1</w:t>
            </w:r>
            <w:r w:rsidR="00403036" w:rsidRPr="004C27B1">
              <w:rPr>
                <w:sz w:val="22"/>
                <w:szCs w:val="22"/>
              </w:rPr>
              <w:t xml:space="preserve"> of the EIAR</w:t>
            </w:r>
            <w:r w:rsidR="00AA7EDD" w:rsidRPr="004C27B1">
              <w:rPr>
                <w:sz w:val="22"/>
                <w:szCs w:val="22"/>
              </w:rPr>
              <w:t>)</w:t>
            </w:r>
          </w:p>
          <w:p w14:paraId="7421C020" w14:textId="414D51F1" w:rsidR="004E4B6B" w:rsidRPr="004C27B1" w:rsidRDefault="00E632C6" w:rsidP="00C6208E">
            <w:pPr>
              <w:pStyle w:val="ListParagraph"/>
              <w:numPr>
                <w:ilvl w:val="0"/>
                <w:numId w:val="42"/>
              </w:numPr>
              <w:spacing w:after="0" w:line="240" w:lineRule="auto"/>
              <w:jc w:val="both"/>
              <w:rPr>
                <w:sz w:val="22"/>
                <w:szCs w:val="22"/>
              </w:rPr>
            </w:pPr>
            <w:r w:rsidRPr="004C27B1">
              <w:rPr>
                <w:sz w:val="22"/>
                <w:szCs w:val="22"/>
              </w:rPr>
              <w:t xml:space="preserve">The second scenario is the Cumulative Developments Scenario </w:t>
            </w:r>
            <w:r w:rsidR="006B5244" w:rsidRPr="004C27B1">
              <w:rPr>
                <w:sz w:val="22"/>
                <w:szCs w:val="22"/>
              </w:rPr>
              <w:t>(See below)</w:t>
            </w:r>
          </w:p>
          <w:p w14:paraId="04962496" w14:textId="0067F622" w:rsidR="00193809" w:rsidRPr="004C27B1" w:rsidRDefault="00193809" w:rsidP="00193809">
            <w:pPr>
              <w:jc w:val="both"/>
              <w:rPr>
                <w:rFonts w:ascii="Arial" w:hAnsi="Arial" w:cs="Arial"/>
                <w:b/>
                <w:bCs/>
                <w:u w:val="single"/>
              </w:rPr>
            </w:pPr>
            <w:r w:rsidRPr="004C27B1">
              <w:rPr>
                <w:rFonts w:ascii="Arial" w:hAnsi="Arial" w:cs="Arial"/>
                <w:b/>
                <w:bCs/>
                <w:u w:val="single"/>
              </w:rPr>
              <w:t>Proposed Development</w:t>
            </w:r>
            <w:r w:rsidR="00917A7B" w:rsidRPr="004C27B1">
              <w:rPr>
                <w:rFonts w:ascii="Arial" w:hAnsi="Arial" w:cs="Arial"/>
                <w:b/>
                <w:bCs/>
                <w:u w:val="single"/>
              </w:rPr>
              <w:t xml:space="preserve"> Scenario</w:t>
            </w:r>
          </w:p>
          <w:p w14:paraId="64075219" w14:textId="1CBEACE4" w:rsidR="00E629DA" w:rsidRPr="004C27B1" w:rsidRDefault="00E60BFB" w:rsidP="00C6208E">
            <w:pPr>
              <w:pStyle w:val="ListParagraph"/>
              <w:numPr>
                <w:ilvl w:val="0"/>
                <w:numId w:val="44"/>
              </w:numPr>
              <w:spacing w:after="0" w:line="240" w:lineRule="auto"/>
              <w:jc w:val="both"/>
              <w:rPr>
                <w:sz w:val="22"/>
                <w:szCs w:val="22"/>
              </w:rPr>
            </w:pPr>
            <w:r w:rsidRPr="004C27B1">
              <w:rPr>
                <w:sz w:val="22"/>
                <w:szCs w:val="22"/>
              </w:rPr>
              <w:t xml:space="preserve">The </w:t>
            </w:r>
            <w:r w:rsidR="00641EA3" w:rsidRPr="004C27B1">
              <w:rPr>
                <w:sz w:val="22"/>
                <w:szCs w:val="22"/>
              </w:rPr>
              <w:t>results</w:t>
            </w:r>
            <w:r w:rsidRPr="004C27B1">
              <w:rPr>
                <w:sz w:val="22"/>
                <w:szCs w:val="22"/>
              </w:rPr>
              <w:t xml:space="preserve"> from Tables 7.17 – 7.28 from </w:t>
            </w:r>
            <w:r w:rsidR="00917A7B" w:rsidRPr="004C27B1">
              <w:rPr>
                <w:sz w:val="22"/>
                <w:szCs w:val="22"/>
              </w:rPr>
              <w:t xml:space="preserve">the </w:t>
            </w:r>
            <w:r w:rsidRPr="004C27B1">
              <w:rPr>
                <w:sz w:val="22"/>
                <w:szCs w:val="22"/>
              </w:rPr>
              <w:t>EIAR</w:t>
            </w:r>
            <w:r w:rsidR="00641EA3" w:rsidRPr="004C27B1">
              <w:rPr>
                <w:sz w:val="22"/>
                <w:szCs w:val="22"/>
              </w:rPr>
              <w:t xml:space="preserve"> for</w:t>
            </w:r>
            <w:r w:rsidR="00444DB3" w:rsidRPr="004C27B1">
              <w:rPr>
                <w:sz w:val="22"/>
                <w:szCs w:val="22"/>
              </w:rPr>
              <w:t xml:space="preserve"> Human Health and Ecological Receptor</w:t>
            </w:r>
            <w:r w:rsidR="00B80C5F" w:rsidRPr="004C27B1">
              <w:rPr>
                <w:sz w:val="22"/>
                <w:szCs w:val="22"/>
              </w:rPr>
              <w:t xml:space="preserve"> Locations</w:t>
            </w:r>
            <w:r w:rsidR="00B95EAD" w:rsidRPr="004C27B1">
              <w:rPr>
                <w:sz w:val="22"/>
                <w:szCs w:val="22"/>
              </w:rPr>
              <w:t xml:space="preserve"> </w:t>
            </w:r>
            <w:r w:rsidR="00B80C5F" w:rsidRPr="004C27B1">
              <w:rPr>
                <w:sz w:val="22"/>
                <w:szCs w:val="22"/>
              </w:rPr>
              <w:t>S</w:t>
            </w:r>
            <w:r w:rsidR="00B95EAD" w:rsidRPr="004C27B1">
              <w:rPr>
                <w:sz w:val="22"/>
                <w:szCs w:val="22"/>
              </w:rPr>
              <w:t>cenarios</w:t>
            </w:r>
            <w:r w:rsidR="00AF0431" w:rsidRPr="004C27B1">
              <w:rPr>
                <w:sz w:val="22"/>
                <w:szCs w:val="22"/>
              </w:rPr>
              <w:t xml:space="preserve"> are summarised as </w:t>
            </w:r>
            <w:proofErr w:type="gramStart"/>
            <w:r w:rsidR="00AF0431" w:rsidRPr="004C27B1">
              <w:rPr>
                <w:sz w:val="22"/>
                <w:szCs w:val="22"/>
              </w:rPr>
              <w:t>follows;</w:t>
            </w:r>
            <w:proofErr w:type="gramEnd"/>
            <w:r w:rsidR="00DF7795" w:rsidRPr="004C27B1">
              <w:rPr>
                <w:sz w:val="22"/>
                <w:szCs w:val="22"/>
              </w:rPr>
              <w:t xml:space="preserve"> </w:t>
            </w:r>
          </w:p>
          <w:p w14:paraId="18C073E3" w14:textId="2138091A" w:rsidR="00B91C90" w:rsidRPr="004C27B1" w:rsidRDefault="00721BD4" w:rsidP="00C6208E">
            <w:pPr>
              <w:pStyle w:val="ListParagraph"/>
              <w:numPr>
                <w:ilvl w:val="0"/>
                <w:numId w:val="45"/>
              </w:numPr>
              <w:spacing w:after="0" w:line="240" w:lineRule="auto"/>
              <w:jc w:val="both"/>
              <w:rPr>
                <w:sz w:val="22"/>
                <w:szCs w:val="22"/>
              </w:rPr>
            </w:pPr>
            <w:r>
              <w:rPr>
                <w:sz w:val="22"/>
                <w:szCs w:val="22"/>
              </w:rPr>
              <w:t xml:space="preserve">The </w:t>
            </w:r>
            <w:r w:rsidR="00915C4A" w:rsidRPr="004C27B1">
              <w:rPr>
                <w:sz w:val="22"/>
                <w:szCs w:val="22"/>
              </w:rPr>
              <w:t>assessment has determined that the impact of the Proposed Development Scenario and subsequent total pollutant concentrations (PEC) does not result in a significant effect on local air quality</w:t>
            </w:r>
            <w:r>
              <w:rPr>
                <w:sz w:val="22"/>
                <w:szCs w:val="22"/>
              </w:rPr>
              <w:t xml:space="preserve"> for human health receptors</w:t>
            </w:r>
            <w:r w:rsidR="00915C4A" w:rsidRPr="004C27B1">
              <w:rPr>
                <w:sz w:val="22"/>
                <w:szCs w:val="22"/>
              </w:rPr>
              <w:t xml:space="preserve">. </w:t>
            </w:r>
          </w:p>
          <w:p w14:paraId="53532CF6" w14:textId="0C415EC0" w:rsidR="008C0FB4" w:rsidRPr="004C27B1" w:rsidRDefault="00DE6E77" w:rsidP="00C6208E">
            <w:pPr>
              <w:pStyle w:val="ListParagraph"/>
              <w:numPr>
                <w:ilvl w:val="0"/>
                <w:numId w:val="45"/>
              </w:numPr>
              <w:spacing w:after="0" w:line="240" w:lineRule="auto"/>
              <w:jc w:val="both"/>
              <w:rPr>
                <w:sz w:val="22"/>
                <w:szCs w:val="22"/>
              </w:rPr>
            </w:pPr>
            <w:r w:rsidRPr="004C27B1">
              <w:rPr>
                <w:sz w:val="22"/>
                <w:szCs w:val="22"/>
              </w:rPr>
              <w:lastRenderedPageBreak/>
              <w:t>The</w:t>
            </w:r>
            <w:r w:rsidR="002D6F69" w:rsidRPr="004C27B1">
              <w:rPr>
                <w:sz w:val="22"/>
                <w:szCs w:val="22"/>
              </w:rPr>
              <w:t xml:space="preserve"> impacts at ecological sites are</w:t>
            </w:r>
            <w:r w:rsidRPr="004C27B1">
              <w:rPr>
                <w:sz w:val="22"/>
                <w:szCs w:val="22"/>
              </w:rPr>
              <w:t xml:space="preserve"> also</w:t>
            </w:r>
            <w:r w:rsidR="002D6F69" w:rsidRPr="004C27B1">
              <w:rPr>
                <w:sz w:val="22"/>
                <w:szCs w:val="22"/>
              </w:rPr>
              <w:t xml:space="preserve"> unlikely to be significant</w:t>
            </w:r>
            <w:r w:rsidRPr="004C27B1">
              <w:rPr>
                <w:sz w:val="22"/>
                <w:szCs w:val="22"/>
              </w:rPr>
              <w:t xml:space="preserve"> for all scenarios</w:t>
            </w:r>
            <w:r w:rsidR="002D6F69" w:rsidRPr="004C27B1">
              <w:rPr>
                <w:sz w:val="22"/>
                <w:szCs w:val="22"/>
              </w:rPr>
              <w:t>. It is predicted that the PCs (process contributions of modelled emissions only) from the Proposed</w:t>
            </w:r>
            <w:r w:rsidR="00B91C90" w:rsidRPr="004C27B1">
              <w:rPr>
                <w:sz w:val="22"/>
                <w:szCs w:val="22"/>
              </w:rPr>
              <w:t xml:space="preserve"> </w:t>
            </w:r>
            <w:r w:rsidR="002D6F69" w:rsidRPr="004C27B1">
              <w:rPr>
                <w:sz w:val="22"/>
                <w:szCs w:val="22"/>
              </w:rPr>
              <w:t>Development Scenario are all &lt;0.1% of the Environmental Assessment Level</w:t>
            </w:r>
            <w:r w:rsidR="00B91C90" w:rsidRPr="004C27B1">
              <w:rPr>
                <w:sz w:val="22"/>
                <w:szCs w:val="22"/>
              </w:rPr>
              <w:t>.</w:t>
            </w:r>
          </w:p>
        </w:tc>
      </w:tr>
      <w:tr w:rsidR="00593703" w:rsidRPr="00E10034" w14:paraId="35FE8B61" w14:textId="77777777" w:rsidTr="002E76BA">
        <w:tc>
          <w:tcPr>
            <w:tcW w:w="9016" w:type="dxa"/>
            <w:shd w:val="clear" w:color="auto" w:fill="D9D9D9" w:themeFill="background1" w:themeFillShade="D9"/>
          </w:tcPr>
          <w:p w14:paraId="6A93750E" w14:textId="2A9B4F43" w:rsidR="00593703" w:rsidRPr="004C27B1" w:rsidRDefault="00593703" w:rsidP="00B65CD1">
            <w:pPr>
              <w:jc w:val="both"/>
              <w:rPr>
                <w:rFonts w:ascii="Arial" w:hAnsi="Arial" w:cs="Arial"/>
              </w:rPr>
            </w:pPr>
            <w:r w:rsidRPr="004C27B1">
              <w:rPr>
                <w:rFonts w:ascii="Arial" w:hAnsi="Arial" w:cs="Arial"/>
                <w:b/>
                <w:bCs/>
              </w:rPr>
              <w:lastRenderedPageBreak/>
              <w:t>Decommissioning</w:t>
            </w:r>
          </w:p>
        </w:tc>
      </w:tr>
      <w:tr w:rsidR="00593703" w:rsidRPr="00E10034" w14:paraId="63ED9E51" w14:textId="77777777" w:rsidTr="00F16C94">
        <w:tc>
          <w:tcPr>
            <w:tcW w:w="9016" w:type="dxa"/>
          </w:tcPr>
          <w:p w14:paraId="6FF457FF" w14:textId="7C3587A8" w:rsidR="00C02EA0" w:rsidRPr="004C27B1" w:rsidRDefault="00C02EA0" w:rsidP="00C6208E">
            <w:pPr>
              <w:pStyle w:val="ListParagraph"/>
              <w:numPr>
                <w:ilvl w:val="0"/>
                <w:numId w:val="41"/>
              </w:numPr>
              <w:spacing w:after="0" w:line="240" w:lineRule="auto"/>
              <w:jc w:val="both"/>
              <w:rPr>
                <w:sz w:val="22"/>
                <w:szCs w:val="22"/>
              </w:rPr>
            </w:pPr>
            <w:r w:rsidRPr="004C27B1">
              <w:rPr>
                <w:sz w:val="22"/>
                <w:szCs w:val="22"/>
              </w:rPr>
              <w:t>The applicant notes in Section 7.1.1 of the EIAR that during the decommissioning phase, potential air quality impacts will be very similar to impacts referred to under the construction phase</w:t>
            </w:r>
            <w:r w:rsidR="006D1F0D">
              <w:rPr>
                <w:sz w:val="22"/>
                <w:szCs w:val="22"/>
              </w:rPr>
              <w:t>.</w:t>
            </w:r>
          </w:p>
          <w:p w14:paraId="0BE0C614" w14:textId="77777777" w:rsidR="00C02EA0" w:rsidRPr="004C27B1" w:rsidRDefault="00C02EA0" w:rsidP="00C6208E">
            <w:pPr>
              <w:pStyle w:val="ListParagraph"/>
              <w:numPr>
                <w:ilvl w:val="0"/>
                <w:numId w:val="41"/>
              </w:numPr>
              <w:spacing w:after="0" w:line="240" w:lineRule="auto"/>
              <w:jc w:val="both"/>
              <w:rPr>
                <w:sz w:val="22"/>
                <w:szCs w:val="22"/>
              </w:rPr>
            </w:pPr>
            <w:r w:rsidRPr="004C27B1">
              <w:rPr>
                <w:sz w:val="22"/>
                <w:szCs w:val="22"/>
              </w:rPr>
              <w:t>The air quality impacts arising include Emissions of dust and particulates from construction activity; and - Emissions of oxides of nitrogen (NOX) (including nitrogen dioxide (NO2) and particulate matter (PM10 and PM2.5) from construction phase traffic movements.</w:t>
            </w:r>
          </w:p>
          <w:p w14:paraId="17A9B0BA" w14:textId="3E902997" w:rsidR="00C02EA0" w:rsidRPr="004C27B1" w:rsidRDefault="00C02EA0" w:rsidP="00C6208E">
            <w:pPr>
              <w:pStyle w:val="ListParagraph"/>
              <w:numPr>
                <w:ilvl w:val="0"/>
                <w:numId w:val="41"/>
              </w:numPr>
              <w:spacing w:after="0" w:line="240" w:lineRule="auto"/>
              <w:jc w:val="both"/>
              <w:rPr>
                <w:sz w:val="22"/>
                <w:szCs w:val="22"/>
              </w:rPr>
            </w:pPr>
            <w:r w:rsidRPr="004C27B1">
              <w:rPr>
                <w:sz w:val="22"/>
                <w:szCs w:val="22"/>
              </w:rPr>
              <w:t>The Applicant notes in Section 7.3.2 that no significant change in air quality is likely from traffic during the decommissioning phases.</w:t>
            </w:r>
          </w:p>
        </w:tc>
      </w:tr>
      <w:tr w:rsidR="0053450E" w:rsidRPr="00E10034" w14:paraId="5F5BB6B2" w14:textId="77777777" w:rsidTr="002E76BA">
        <w:tc>
          <w:tcPr>
            <w:tcW w:w="9016" w:type="dxa"/>
            <w:shd w:val="clear" w:color="auto" w:fill="D9D9D9" w:themeFill="background1" w:themeFillShade="D9"/>
          </w:tcPr>
          <w:p w14:paraId="091E02BD" w14:textId="38F97811" w:rsidR="0053450E" w:rsidRPr="004C27B1" w:rsidRDefault="0053450E" w:rsidP="00B65CD1">
            <w:pPr>
              <w:jc w:val="both"/>
              <w:rPr>
                <w:rFonts w:ascii="Arial" w:hAnsi="Arial" w:cs="Arial"/>
              </w:rPr>
            </w:pPr>
            <w:r w:rsidRPr="004C27B1">
              <w:rPr>
                <w:rFonts w:ascii="Arial" w:hAnsi="Arial" w:cs="Arial"/>
                <w:b/>
                <w:bCs/>
              </w:rPr>
              <w:t>Cumulative</w:t>
            </w:r>
            <w:r w:rsidR="00334F62" w:rsidRPr="004C27B1">
              <w:rPr>
                <w:rFonts w:ascii="Arial" w:hAnsi="Arial" w:cs="Arial"/>
                <w:b/>
                <w:bCs/>
              </w:rPr>
              <w:t xml:space="preserve"> Impacts</w:t>
            </w:r>
          </w:p>
        </w:tc>
      </w:tr>
      <w:tr w:rsidR="00593703" w:rsidRPr="00E10034" w14:paraId="5C0A390F" w14:textId="77777777" w:rsidTr="00726098">
        <w:tc>
          <w:tcPr>
            <w:tcW w:w="9016" w:type="dxa"/>
          </w:tcPr>
          <w:p w14:paraId="44A3C258" w14:textId="5AABA1D5" w:rsidR="000B63EC" w:rsidRPr="004C27B1" w:rsidRDefault="00885D40" w:rsidP="00CB27CF">
            <w:pPr>
              <w:jc w:val="both"/>
              <w:rPr>
                <w:rFonts w:ascii="Arial" w:hAnsi="Arial" w:cs="Arial"/>
              </w:rPr>
            </w:pPr>
            <w:r w:rsidRPr="004C27B1">
              <w:rPr>
                <w:rFonts w:ascii="Arial" w:hAnsi="Arial" w:cs="Arial"/>
                <w:b/>
                <w:bCs/>
                <w:u w:val="single"/>
              </w:rPr>
              <w:t>Cumulative Developments Scenario</w:t>
            </w:r>
          </w:p>
          <w:p w14:paraId="17315255" w14:textId="418B3EF6" w:rsidR="00593703" w:rsidRPr="004C27B1" w:rsidRDefault="00CB27CF" w:rsidP="00C6208E">
            <w:pPr>
              <w:pStyle w:val="ListParagraph"/>
              <w:numPr>
                <w:ilvl w:val="0"/>
                <w:numId w:val="43"/>
              </w:numPr>
              <w:spacing w:after="0" w:line="240" w:lineRule="auto"/>
              <w:jc w:val="both"/>
              <w:rPr>
                <w:sz w:val="22"/>
                <w:szCs w:val="22"/>
              </w:rPr>
            </w:pPr>
            <w:r w:rsidRPr="004C27B1">
              <w:rPr>
                <w:sz w:val="22"/>
                <w:szCs w:val="22"/>
              </w:rPr>
              <w:t xml:space="preserve">The Cumulative Developments Scenario includes </w:t>
            </w:r>
            <w:proofErr w:type="gramStart"/>
            <w:r w:rsidRPr="004C27B1">
              <w:rPr>
                <w:sz w:val="22"/>
                <w:szCs w:val="22"/>
              </w:rPr>
              <w:t>all of</w:t>
            </w:r>
            <w:proofErr w:type="gramEnd"/>
            <w:r w:rsidRPr="004C27B1">
              <w:rPr>
                <w:sz w:val="22"/>
                <w:szCs w:val="22"/>
              </w:rPr>
              <w:t xml:space="preserve"> the proposed OCGT, the generators which fr</w:t>
            </w:r>
            <w:r w:rsidR="000B63EC" w:rsidRPr="004C27B1">
              <w:rPr>
                <w:sz w:val="22"/>
                <w:szCs w:val="22"/>
              </w:rPr>
              <w:t>o</w:t>
            </w:r>
            <w:r w:rsidRPr="004C27B1">
              <w:rPr>
                <w:sz w:val="22"/>
                <w:szCs w:val="22"/>
              </w:rPr>
              <w:t>m the Tarbert Temporary Emergency Generation (TEG) Site operational for 500 hours per year each and sources from Moneypoint Power Statio</w:t>
            </w:r>
            <w:r w:rsidR="00BA5DF1" w:rsidRPr="004C27B1">
              <w:rPr>
                <w:sz w:val="22"/>
                <w:szCs w:val="22"/>
              </w:rPr>
              <w:t xml:space="preserve">n </w:t>
            </w:r>
            <w:r w:rsidRPr="004C27B1">
              <w:rPr>
                <w:sz w:val="22"/>
                <w:szCs w:val="22"/>
              </w:rPr>
              <w:t>(outlined in Section 7.3.3.2</w:t>
            </w:r>
            <w:r w:rsidR="00BA5DF1" w:rsidRPr="004C27B1">
              <w:rPr>
                <w:sz w:val="22"/>
                <w:szCs w:val="22"/>
              </w:rPr>
              <w:t xml:space="preserve"> of EIAR</w:t>
            </w:r>
            <w:r w:rsidRPr="004C27B1">
              <w:rPr>
                <w:sz w:val="22"/>
                <w:szCs w:val="22"/>
              </w:rPr>
              <w:t>)</w:t>
            </w:r>
          </w:p>
          <w:p w14:paraId="30A9C7CB" w14:textId="2EAE6D1D" w:rsidR="00BC72B5" w:rsidRPr="004C27B1" w:rsidRDefault="00BC72B5" w:rsidP="00C6208E">
            <w:pPr>
              <w:pStyle w:val="ListParagraph"/>
              <w:numPr>
                <w:ilvl w:val="0"/>
                <w:numId w:val="43"/>
              </w:numPr>
              <w:spacing w:after="0" w:line="240" w:lineRule="auto"/>
              <w:jc w:val="both"/>
              <w:rPr>
                <w:sz w:val="22"/>
                <w:szCs w:val="22"/>
              </w:rPr>
            </w:pPr>
            <w:r w:rsidRPr="004C27B1">
              <w:rPr>
                <w:sz w:val="22"/>
                <w:szCs w:val="22"/>
              </w:rPr>
              <w:t xml:space="preserve">The results from </w:t>
            </w:r>
            <w:r w:rsidR="00E3671C" w:rsidRPr="004C27B1">
              <w:rPr>
                <w:sz w:val="22"/>
                <w:szCs w:val="22"/>
              </w:rPr>
              <w:t xml:space="preserve">Table 7.29 – Table 7.40 from </w:t>
            </w:r>
            <w:r w:rsidRPr="004C27B1">
              <w:rPr>
                <w:sz w:val="22"/>
                <w:szCs w:val="22"/>
              </w:rPr>
              <w:t xml:space="preserve">the </w:t>
            </w:r>
            <w:r w:rsidR="00E3671C" w:rsidRPr="004C27B1">
              <w:rPr>
                <w:sz w:val="22"/>
                <w:szCs w:val="22"/>
              </w:rPr>
              <w:t xml:space="preserve">EIAR </w:t>
            </w:r>
            <w:r w:rsidRPr="004C27B1">
              <w:rPr>
                <w:sz w:val="22"/>
                <w:szCs w:val="22"/>
              </w:rPr>
              <w:t xml:space="preserve">for </w:t>
            </w:r>
            <w:r w:rsidR="004F7C23" w:rsidRPr="004C27B1">
              <w:rPr>
                <w:sz w:val="22"/>
                <w:szCs w:val="22"/>
              </w:rPr>
              <w:t xml:space="preserve">the cumulative results for each modelled scenario at Human Health Receptor Locations and at Ecological Receptor Locations </w:t>
            </w:r>
            <w:r w:rsidRPr="004C27B1">
              <w:rPr>
                <w:sz w:val="22"/>
                <w:szCs w:val="22"/>
              </w:rPr>
              <w:t xml:space="preserve">is as </w:t>
            </w:r>
            <w:proofErr w:type="gramStart"/>
            <w:r w:rsidRPr="004C27B1">
              <w:rPr>
                <w:sz w:val="22"/>
                <w:szCs w:val="22"/>
              </w:rPr>
              <w:t>follows;</w:t>
            </w:r>
            <w:proofErr w:type="gramEnd"/>
          </w:p>
          <w:p w14:paraId="630B2CA7" w14:textId="4373019F" w:rsidR="00BC72B5" w:rsidRPr="004C27B1" w:rsidRDefault="00BC72B5" w:rsidP="00C6208E">
            <w:pPr>
              <w:pStyle w:val="ListParagraph"/>
              <w:numPr>
                <w:ilvl w:val="0"/>
                <w:numId w:val="46"/>
              </w:numPr>
              <w:spacing w:after="0" w:line="240" w:lineRule="auto"/>
              <w:jc w:val="both"/>
              <w:rPr>
                <w:sz w:val="22"/>
                <w:szCs w:val="22"/>
              </w:rPr>
            </w:pPr>
            <w:r w:rsidRPr="004C27B1">
              <w:rPr>
                <w:sz w:val="22"/>
                <w:szCs w:val="22"/>
              </w:rPr>
              <w:t>The assessment has identified several incidences of moderate impacts at human receptors in both the Proposed Development Scenario and the Cumulative Developments Scenario. This, however, does not indicate a significant impact, owed to the good overall air quality at in the vicinity of the Site.</w:t>
            </w:r>
          </w:p>
          <w:p w14:paraId="1D0B22DD" w14:textId="3EBCE054" w:rsidR="004F7C23" w:rsidRPr="004C27B1" w:rsidRDefault="00BC72B5" w:rsidP="00C6208E">
            <w:pPr>
              <w:pStyle w:val="ListParagraph"/>
              <w:numPr>
                <w:ilvl w:val="0"/>
                <w:numId w:val="46"/>
              </w:numPr>
              <w:spacing w:after="0" w:line="240" w:lineRule="auto"/>
              <w:jc w:val="both"/>
              <w:rPr>
                <w:sz w:val="22"/>
                <w:szCs w:val="22"/>
              </w:rPr>
            </w:pPr>
            <w:r w:rsidRPr="004C27B1">
              <w:rPr>
                <w:sz w:val="22"/>
                <w:szCs w:val="22"/>
              </w:rPr>
              <w:t xml:space="preserve">The impact at ecological sites </w:t>
            </w:r>
            <w:proofErr w:type="gramStart"/>
            <w:r w:rsidRPr="004C27B1">
              <w:rPr>
                <w:sz w:val="22"/>
                <w:szCs w:val="22"/>
              </w:rPr>
              <w:t>are</w:t>
            </w:r>
            <w:proofErr w:type="gramEnd"/>
            <w:r w:rsidRPr="004C27B1">
              <w:rPr>
                <w:sz w:val="22"/>
                <w:szCs w:val="22"/>
              </w:rPr>
              <w:t xml:space="preserve"> unlikely to be significant.  The higher PCs in the cumulative scenario are likely to be due to unavoidable double counting of contributions from Moneypoint and the contribution of the Tarbert HFO Power Station in the background, as described in the previous sections. This assessment has therefore shown to represent a conservative approach to modelling the Proposed Development.</w:t>
            </w:r>
          </w:p>
          <w:p w14:paraId="527299C5" w14:textId="724C8738" w:rsidR="0096243F" w:rsidRPr="004C27B1" w:rsidRDefault="00BB6AD9" w:rsidP="00C6208E">
            <w:pPr>
              <w:pStyle w:val="ListParagraph"/>
              <w:numPr>
                <w:ilvl w:val="0"/>
                <w:numId w:val="43"/>
              </w:numPr>
              <w:spacing w:after="0" w:line="240" w:lineRule="auto"/>
              <w:jc w:val="both"/>
              <w:rPr>
                <w:sz w:val="22"/>
                <w:szCs w:val="22"/>
              </w:rPr>
            </w:pPr>
            <w:r w:rsidRPr="004C27B1">
              <w:rPr>
                <w:sz w:val="22"/>
                <w:szCs w:val="22"/>
              </w:rPr>
              <w:t xml:space="preserve">Of note in the assessment </w:t>
            </w:r>
            <w:r w:rsidR="0096243F" w:rsidRPr="004C27B1">
              <w:rPr>
                <w:sz w:val="22"/>
                <w:szCs w:val="22"/>
              </w:rPr>
              <w:t xml:space="preserve">in relation to Cumulative Impacts on Annual Nitrogen </w:t>
            </w:r>
            <w:proofErr w:type="gramStart"/>
            <w:r w:rsidR="0096243F" w:rsidRPr="004C27B1">
              <w:rPr>
                <w:sz w:val="22"/>
                <w:szCs w:val="22"/>
              </w:rPr>
              <w:t>Deposition</w:t>
            </w:r>
            <w:r w:rsidR="0070635D" w:rsidRPr="004C27B1">
              <w:rPr>
                <w:sz w:val="22"/>
                <w:szCs w:val="22"/>
              </w:rPr>
              <w:t>;</w:t>
            </w:r>
            <w:proofErr w:type="gramEnd"/>
          </w:p>
          <w:p w14:paraId="392859CF" w14:textId="0EF0EA77" w:rsidR="007867DA" w:rsidRPr="00B310A3" w:rsidRDefault="00B84A12" w:rsidP="00B310A3">
            <w:pPr>
              <w:pStyle w:val="ListParagraph"/>
              <w:spacing w:after="0" w:line="240" w:lineRule="auto"/>
              <w:jc w:val="both"/>
              <w:rPr>
                <w:sz w:val="22"/>
                <w:szCs w:val="22"/>
              </w:rPr>
            </w:pPr>
            <w:r w:rsidRPr="004C27B1">
              <w:rPr>
                <w:sz w:val="22"/>
                <w:szCs w:val="22"/>
              </w:rPr>
              <w:t>‘</w:t>
            </w:r>
            <w:r w:rsidR="0096243F" w:rsidRPr="004C27B1">
              <w:rPr>
                <w:i/>
                <w:iCs/>
                <w:sz w:val="22"/>
                <w:szCs w:val="22"/>
              </w:rPr>
              <w:t>This assessment offers a conservative prediction of the air pollution climate in the vicinity of the site. It is important to acknowledge that the reason PEC of nitrogen deposition as shown in Table 7.39 is high is because of the existing background concentrations. These background concentrations are likely to comprise existing sources of pollutants, such as Moneypoint Power station, which is modelled in this assessment, we are therefore likely to be double counting this contribution in the calculated PEC. The Tarbert HFO Power Station, which is expected to be decommissioned by the time the Proposed Development is operational, is also likely to be a contributor to the background nitrogen deposition concentrations used in this assessment.</w:t>
            </w:r>
            <w:r w:rsidRPr="004C27B1">
              <w:rPr>
                <w:i/>
                <w:iCs/>
                <w:sz w:val="22"/>
                <w:szCs w:val="22"/>
              </w:rPr>
              <w:t>’</w:t>
            </w:r>
          </w:p>
        </w:tc>
      </w:tr>
    </w:tbl>
    <w:p w14:paraId="0C74749C" w14:textId="77777777" w:rsidR="0043127D" w:rsidRDefault="0043127D" w:rsidP="009937A1">
      <w:pPr>
        <w:pStyle w:val="Heading2"/>
      </w:pPr>
      <w:r>
        <w:t>Mitigation</w:t>
      </w:r>
    </w:p>
    <w:p w14:paraId="6AAA2FC1" w14:textId="558AC61B" w:rsidR="0043127D" w:rsidRDefault="0043127D" w:rsidP="00F919F3">
      <w:pPr>
        <w:pStyle w:val="BBody1"/>
        <w:numPr>
          <w:ilvl w:val="0"/>
          <w:numId w:val="0"/>
        </w:numPr>
        <w:jc w:val="both"/>
      </w:pPr>
      <w:r w:rsidRPr="00F35346">
        <w:t xml:space="preserve">Mitigation Measures </w:t>
      </w:r>
      <w:r>
        <w:t xml:space="preserve">are discussed </w:t>
      </w:r>
      <w:r w:rsidRPr="00F35346">
        <w:t>in Section 7.3.1</w:t>
      </w:r>
      <w:r>
        <w:t xml:space="preserve"> of the EIAR</w:t>
      </w:r>
      <w:r w:rsidRPr="00F35346">
        <w:t xml:space="preserve"> in relation to Construction Dust.  It is intended that significant adverse environmental effects are </w:t>
      </w:r>
      <w:r w:rsidRPr="00F35346">
        <w:lastRenderedPageBreak/>
        <w:t>avoided at the design stage and through embedded mitigation where possible, including the use of good working practices to control dust emissions at source.</w:t>
      </w:r>
      <w:r>
        <w:t xml:space="preserve">  </w:t>
      </w:r>
    </w:p>
    <w:p w14:paraId="1DF6E9F7" w14:textId="77777777" w:rsidR="0043127D" w:rsidRDefault="0043127D" w:rsidP="00F919F3">
      <w:pPr>
        <w:pStyle w:val="BBody1"/>
        <w:numPr>
          <w:ilvl w:val="0"/>
          <w:numId w:val="0"/>
        </w:numPr>
        <w:jc w:val="both"/>
      </w:pPr>
      <w:r>
        <w:t>Section 7.5.1.3 notes that appropriate mitigation measures are set out in guidance published by the IAQM to control impacts from dust soiling from unmitigated activities for the proposed development.  Additional site-specific measures will be identified in the contractors Construction Environmental Management Plan (CEMP) to further mitigate dust emissions.  These are standard good practice measures.</w:t>
      </w:r>
    </w:p>
    <w:p w14:paraId="247A5CF5" w14:textId="77777777" w:rsidR="0043127D" w:rsidRDefault="0043127D" w:rsidP="00F919F3">
      <w:pPr>
        <w:pStyle w:val="BBody1"/>
        <w:numPr>
          <w:ilvl w:val="0"/>
          <w:numId w:val="0"/>
        </w:numPr>
        <w:jc w:val="both"/>
      </w:pPr>
      <w:r>
        <w:t>No additional measures to mitigate the effects of air quality are proposed, outside the scope of good practice and the Site’s Industrial Emissions Licence.</w:t>
      </w:r>
    </w:p>
    <w:p w14:paraId="054CEDA3" w14:textId="77777777" w:rsidR="0043127D" w:rsidRDefault="0043127D" w:rsidP="0043127D">
      <w:pPr>
        <w:pStyle w:val="Heading2"/>
      </w:pPr>
      <w:r>
        <w:t>Residual Effects</w:t>
      </w:r>
    </w:p>
    <w:p w14:paraId="52F2FC3D" w14:textId="730A0C9F" w:rsidR="00E37B36" w:rsidRPr="00E37B36" w:rsidRDefault="00E37B36" w:rsidP="00E37B36">
      <w:pPr>
        <w:pStyle w:val="BBody1"/>
        <w:numPr>
          <w:ilvl w:val="0"/>
          <w:numId w:val="0"/>
        </w:numPr>
      </w:pPr>
      <w:r>
        <w:t>No significant residual impacts have been identified.</w:t>
      </w:r>
    </w:p>
    <w:bookmarkEnd w:id="44"/>
    <w:p w14:paraId="0AFDD86E" w14:textId="77777777" w:rsidR="003F0B9C" w:rsidRDefault="003F0B9C" w:rsidP="003F0B9C">
      <w:pPr>
        <w:pStyle w:val="Heading2"/>
      </w:pPr>
      <w:r>
        <w:t>The Assessment:  Direct and Indirect Effects</w:t>
      </w:r>
    </w:p>
    <w:p w14:paraId="4764AB08" w14:textId="77777777" w:rsidR="003F0B9C" w:rsidRDefault="003F0B9C" w:rsidP="003F0B9C">
      <w:pPr>
        <w:pStyle w:val="BBody1"/>
        <w:numPr>
          <w:ilvl w:val="0"/>
          <w:numId w:val="0"/>
        </w:numPr>
        <w:jc w:val="both"/>
      </w:pPr>
      <w:r>
        <w:t xml:space="preserve">I have examined, </w:t>
      </w:r>
      <w:proofErr w:type="gramStart"/>
      <w:r>
        <w:t>analysed</w:t>
      </w:r>
      <w:proofErr w:type="gramEnd"/>
      <w:r>
        <w:t xml:space="preserve"> and evaluated Chapter 7 of the EIAR, and all of the associated documentation and submissions on file in relation to Air Quality. Tarbert Development Association were supportive of the proposed OCGT as emissions should be greatly reduced as the Plant will only operate at times when power from renewable sources is not able to meet demand.</w:t>
      </w:r>
    </w:p>
    <w:p w14:paraId="7C023F26" w14:textId="0D8EA13B" w:rsidR="003F0B9C" w:rsidRDefault="003F0B9C" w:rsidP="003F0B9C">
      <w:pPr>
        <w:pStyle w:val="BBody1"/>
        <w:numPr>
          <w:ilvl w:val="0"/>
          <w:numId w:val="0"/>
        </w:numPr>
        <w:jc w:val="both"/>
      </w:pPr>
      <w:r>
        <w:t xml:space="preserve">For the construction stage, a CEMP will </w:t>
      </w:r>
      <w:r w:rsidR="008D44A7">
        <w:t xml:space="preserve">adequately </w:t>
      </w:r>
      <w:r>
        <w:t xml:space="preserve">mitigate against construction dust </w:t>
      </w:r>
      <w:r w:rsidR="00776268">
        <w:t xml:space="preserve">and other construction phase </w:t>
      </w:r>
      <w:proofErr w:type="gramStart"/>
      <w:r w:rsidR="00776268">
        <w:t>impacts</w:t>
      </w:r>
      <w:proofErr w:type="gramEnd"/>
      <w:r w:rsidR="00776268">
        <w:t xml:space="preserve"> </w:t>
      </w:r>
      <w:r>
        <w:t>and this can be dealt with by way of condition.</w:t>
      </w:r>
      <w:r w:rsidR="008D44A7">
        <w:t xml:space="preserve">  </w:t>
      </w:r>
    </w:p>
    <w:p w14:paraId="3D930A99" w14:textId="05B37127" w:rsidR="003F0B9C" w:rsidRPr="0043127D" w:rsidRDefault="003F0B9C" w:rsidP="003F0B9C">
      <w:pPr>
        <w:pStyle w:val="BBody1"/>
        <w:numPr>
          <w:ilvl w:val="0"/>
          <w:numId w:val="0"/>
        </w:numPr>
        <w:jc w:val="both"/>
      </w:pPr>
      <w:r>
        <w:t xml:space="preserve">I am satisfied with the applicants understanding of the baseline environment and the </w:t>
      </w:r>
      <w:r w:rsidRPr="0043127D">
        <w:t>dispersion modelling assessment</w:t>
      </w:r>
      <w:r>
        <w:t xml:space="preserve"> of the proposed development impacts based on</w:t>
      </w:r>
      <w:r w:rsidRPr="0043127D">
        <w:t xml:space="preserve"> emissions associated with the construction and operation of the proposed OCGT, operating up to 1800 hours per year</w:t>
      </w:r>
      <w:r>
        <w:t xml:space="preserve"> and the cumulative impacts scenarios at selected Human Health Receptor Locations and Ecological Receptor Locations including</w:t>
      </w:r>
      <w:r w:rsidRPr="0043127D">
        <w:t xml:space="preserve"> air quality sensitive SAC and SPA habitats within 15km</w:t>
      </w:r>
      <w:r>
        <w:t>.  I consider the applicants have provided a conservative predic</w:t>
      </w:r>
      <w:r w:rsidR="00B310A3">
        <w:t>tion</w:t>
      </w:r>
      <w:r>
        <w:t xml:space="preserve"> of air pollution climate in the vicinity of the site as described in their assessment.  I am confident the dispersion modelling is robust, having identified several incidences of moderate impacts which are not considered significant due to the good overall air quality in the vicinity of the site. Based on the </w:t>
      </w:r>
      <w:r>
        <w:lastRenderedPageBreak/>
        <w:t xml:space="preserve">results of the EIAR dispersion model, I am satisfied that no significant impacts are likely in relation to Air Quality.  </w:t>
      </w:r>
    </w:p>
    <w:p w14:paraId="4D0A52CB" w14:textId="13D824A4" w:rsidR="003F0B9C" w:rsidRPr="00BE2073" w:rsidRDefault="003F0B9C" w:rsidP="003F0B9C">
      <w:pPr>
        <w:pStyle w:val="Heading2"/>
      </w:pPr>
      <w:r w:rsidRPr="00BE2073">
        <w:t>Conclusion:  Direct and Indirect (Air Quality)</w:t>
      </w:r>
    </w:p>
    <w:p w14:paraId="0A37940C" w14:textId="2844FAA2" w:rsidR="00395011" w:rsidRDefault="003F0B9C" w:rsidP="00B62814">
      <w:pPr>
        <w:pStyle w:val="BBody1"/>
        <w:numPr>
          <w:ilvl w:val="0"/>
          <w:numId w:val="0"/>
        </w:numPr>
        <w:jc w:val="both"/>
        <w:rPr>
          <w:rStyle w:val="CBody2Char"/>
        </w:rPr>
      </w:pPr>
      <w:r w:rsidRPr="004D7D14">
        <w:t>Emissions from the proposed OCGT w</w:t>
      </w:r>
      <w:r w:rsidR="00BD3BE6">
        <w:t>ill</w:t>
      </w:r>
      <w:r w:rsidRPr="004D7D14">
        <w:t xml:space="preserve"> operate within the terms of an EPA IE licence and as such would be subject to ongoing </w:t>
      </w:r>
      <w:r w:rsidR="005426E3" w:rsidRPr="004D7D14">
        <w:t>and</w:t>
      </w:r>
      <w:r w:rsidRPr="004D7D14">
        <w:t xml:space="preserve"> periodic monitoring.  The proposed development would not give rise to any other significant adverse cumulative impacts in relation to Air Quality.</w:t>
      </w:r>
      <w:r w:rsidR="00BD3BE6">
        <w:t xml:space="preserve">  </w:t>
      </w:r>
      <w:r w:rsidRPr="004D7D14">
        <w:t>I have considered the Applicants EIAR and am satisfied that all issues have been appropriately addressed and that no significant adverse effects are likely to occur</w:t>
      </w:r>
      <w:r>
        <w:t xml:space="preserve"> in relation to Air Quality</w:t>
      </w:r>
      <w:r w:rsidRPr="004D7D14">
        <w:t>.</w:t>
      </w:r>
    </w:p>
    <w:p w14:paraId="11374CD4" w14:textId="0E350835" w:rsidR="00395011" w:rsidRPr="00E9683D" w:rsidRDefault="00B62814" w:rsidP="00395011">
      <w:pPr>
        <w:pStyle w:val="EHead1"/>
      </w:pPr>
      <w:bookmarkStart w:id="47" w:name="_Toc171346787"/>
      <w:r w:rsidRPr="00E9683D">
        <w:t>Cultural Heritage</w:t>
      </w:r>
      <w:bookmarkEnd w:id="47"/>
    </w:p>
    <w:p w14:paraId="118B2AE6" w14:textId="77777777" w:rsidR="00395011" w:rsidRPr="005C552D" w:rsidRDefault="00395011" w:rsidP="00395011">
      <w:pPr>
        <w:pStyle w:val="Heading2"/>
      </w:pPr>
      <w:r>
        <w:t>Issues Raised</w:t>
      </w:r>
    </w:p>
    <w:p w14:paraId="22F970C7" w14:textId="30A371F8" w:rsidR="00395011" w:rsidRDefault="00B62814" w:rsidP="00395011">
      <w:pPr>
        <w:pStyle w:val="BBody1"/>
        <w:numPr>
          <w:ilvl w:val="0"/>
          <w:numId w:val="0"/>
        </w:numPr>
        <w:jc w:val="both"/>
      </w:pPr>
      <w:r>
        <w:t>There were no issues raised in relation to Cultural Heritage in the submissions received.</w:t>
      </w:r>
    </w:p>
    <w:p w14:paraId="5668571C" w14:textId="77777777" w:rsidR="00395011" w:rsidRPr="00302D10" w:rsidRDefault="00395011" w:rsidP="00395011">
      <w:pPr>
        <w:pStyle w:val="Heading3"/>
      </w:pPr>
      <w:r w:rsidRPr="00302D10">
        <w:t>Context</w:t>
      </w:r>
    </w:p>
    <w:p w14:paraId="7A38BB0F" w14:textId="68A4F260" w:rsidR="00CD4535" w:rsidRDefault="00B62814" w:rsidP="00395011">
      <w:pPr>
        <w:pStyle w:val="BBody1"/>
        <w:numPr>
          <w:ilvl w:val="0"/>
          <w:numId w:val="0"/>
        </w:numPr>
        <w:jc w:val="both"/>
        <w:rPr>
          <w:i/>
          <w:iCs/>
        </w:rPr>
      </w:pPr>
      <w:r>
        <w:t>Cultural Heritage</w:t>
      </w:r>
      <w:r w:rsidR="00395011">
        <w:t xml:space="preserve"> is addressed in Chapter </w:t>
      </w:r>
      <w:r>
        <w:t>8</w:t>
      </w:r>
      <w:r w:rsidR="00395011">
        <w:t xml:space="preserve"> of the EIAR, Volume I</w:t>
      </w:r>
      <w:r w:rsidR="000401AB">
        <w:t>, Appendix 8A and 8B,</w:t>
      </w:r>
      <w:r w:rsidR="005F035E">
        <w:t xml:space="preserve"> Volume 2</w:t>
      </w:r>
      <w:r w:rsidR="000401AB">
        <w:t xml:space="preserve"> </w:t>
      </w:r>
      <w:r w:rsidR="00395011">
        <w:t xml:space="preserve">and Figure </w:t>
      </w:r>
      <w:r w:rsidR="004F3365">
        <w:t>8</w:t>
      </w:r>
      <w:r w:rsidR="00395011">
        <w:t xml:space="preserve">.1 in Volume III.  Chapter </w:t>
      </w:r>
      <w:r w:rsidR="004F3365">
        <w:t>8</w:t>
      </w:r>
      <w:r w:rsidR="00395011">
        <w:t xml:space="preserve"> sets out the Methodology, Regulatory and Policy Framework, Baseline Environmental Conditions, Potential Impacts and Cumulative Impacts.  </w:t>
      </w:r>
      <w:r w:rsidR="00B33B93">
        <w:t xml:space="preserve">The assessment was </w:t>
      </w:r>
      <w:r w:rsidR="002F7E33">
        <w:t>g</w:t>
      </w:r>
      <w:r w:rsidR="00CD6BAE">
        <w:t xml:space="preserve">uided by </w:t>
      </w:r>
      <w:r w:rsidR="00CD6BAE" w:rsidRPr="002F7E33">
        <w:rPr>
          <w:i/>
          <w:iCs/>
        </w:rPr>
        <w:t>Historic England Historic Environment Good Practice Advice in Planning: Note 3 (Second Edition) – The Setting of Heritage Assets</w:t>
      </w:r>
      <w:r w:rsidR="00CD6BAE">
        <w:t xml:space="preserve"> (Historic England methodology)</w:t>
      </w:r>
      <w:r w:rsidR="002F7E33">
        <w:t>.</w:t>
      </w:r>
      <w:r w:rsidR="00897D90">
        <w:t xml:space="preserve">  The assessment was also guided by </w:t>
      </w:r>
      <w:r w:rsidR="006A2458">
        <w:t xml:space="preserve">the </w:t>
      </w:r>
      <w:r w:rsidR="006A2458" w:rsidRPr="006A2458">
        <w:rPr>
          <w:i/>
          <w:iCs/>
        </w:rPr>
        <w:t>DEHLG Architectural Heritage Protection, Guidelines for Planning Authorities which was published in 2004 and revised in 2011</w:t>
      </w:r>
      <w:r w:rsidR="006A2458">
        <w:rPr>
          <w:i/>
          <w:iCs/>
        </w:rPr>
        <w:t>.</w:t>
      </w:r>
      <w:r w:rsidR="00D5375D">
        <w:rPr>
          <w:i/>
          <w:iCs/>
        </w:rPr>
        <w:t xml:space="preserve">  </w:t>
      </w:r>
      <w:r w:rsidR="00D5375D">
        <w:t xml:space="preserve">In addition to the legislation and guidance detailed in the EIAR, the setting assessment methodology also adhered to the guidance contained within Cork County Council (CCC.), 2006, </w:t>
      </w:r>
      <w:r w:rsidR="00D5375D" w:rsidRPr="00024742">
        <w:rPr>
          <w:i/>
          <w:iCs/>
        </w:rPr>
        <w:t xml:space="preserve">Guidance Notes for the Appraisal of Historic Gardens, Demesnes, </w:t>
      </w:r>
      <w:proofErr w:type="gramStart"/>
      <w:r w:rsidR="00D5375D" w:rsidRPr="00024742">
        <w:rPr>
          <w:i/>
          <w:iCs/>
        </w:rPr>
        <w:t>Estates</w:t>
      </w:r>
      <w:proofErr w:type="gramEnd"/>
      <w:r w:rsidR="00D5375D" w:rsidRPr="00024742">
        <w:rPr>
          <w:i/>
          <w:iCs/>
        </w:rPr>
        <w:t xml:space="preserve"> and their Settings</w:t>
      </w:r>
      <w:r w:rsidR="00024742">
        <w:rPr>
          <w:i/>
          <w:iCs/>
        </w:rPr>
        <w:t>.</w:t>
      </w:r>
    </w:p>
    <w:p w14:paraId="14C7C974" w14:textId="4AA871A1" w:rsidR="00745AE5" w:rsidRDefault="00745AE5" w:rsidP="00395011">
      <w:pPr>
        <w:pStyle w:val="BBody1"/>
        <w:numPr>
          <w:ilvl w:val="0"/>
          <w:numId w:val="0"/>
        </w:numPr>
        <w:jc w:val="both"/>
      </w:pPr>
      <w:r>
        <w:lastRenderedPageBreak/>
        <w:t>There are no National Monuments either within the Site or the surrounding 1km study area or 3km settings assessment area</w:t>
      </w:r>
      <w:r w:rsidR="002E2334">
        <w:t xml:space="preserve"> and there are no ACAs within the 1km study area around the Site (refer to EIAR Volume III, Figure 8.1).</w:t>
      </w:r>
    </w:p>
    <w:p w14:paraId="3C0B1FFB" w14:textId="66224B1B" w:rsidR="00CB2FE4" w:rsidRDefault="00F861C1" w:rsidP="00395011">
      <w:pPr>
        <w:pStyle w:val="BBody1"/>
        <w:numPr>
          <w:ilvl w:val="0"/>
          <w:numId w:val="0"/>
        </w:numPr>
        <w:jc w:val="both"/>
      </w:pPr>
      <w:r>
        <w:t xml:space="preserve">Two archaeological assets are recorded within the red line boundary of the Site (refer to EIAR Volume III Figure 8.1). The first is the Tarbert Island Battery (KE003-002) which has been demolished with the existing Tarbert </w:t>
      </w:r>
      <w:r w:rsidR="00513601">
        <w:t>H</w:t>
      </w:r>
      <w:r>
        <w:t xml:space="preserve">eavy </w:t>
      </w:r>
      <w:r w:rsidR="00513601">
        <w:t>F</w:t>
      </w:r>
      <w:r>
        <w:t xml:space="preserve">uel </w:t>
      </w:r>
      <w:r w:rsidR="00513601">
        <w:t>O</w:t>
      </w:r>
      <w:r>
        <w:t>il (HFO) Power Station built over it</w:t>
      </w:r>
      <w:r w:rsidR="00174A4E">
        <w:t xml:space="preserve">.  The second archaeological asset located within the boundaries of SSE Tarbert site is a burial (KE003- 068) which was uncovered during construction works in May 1965. </w:t>
      </w:r>
      <w:r w:rsidR="006F3E3A">
        <w:t xml:space="preserve">The site was heavily </w:t>
      </w:r>
      <w:proofErr w:type="gramStart"/>
      <w:r w:rsidR="006F3E3A">
        <w:t>disturbed</w:t>
      </w:r>
      <w:proofErr w:type="gramEnd"/>
      <w:r w:rsidR="006F3E3A">
        <w:t xml:space="preserve"> and the bones were reburied</w:t>
      </w:r>
      <w:r w:rsidR="00CB2FE4">
        <w:t>, although the exact location is unknown.  One other archaeological asset is located within the 1km study area. This is a bastioned fort (KE003- 001) which is located on high ground 356m to the south-west of the Proposed Development.</w:t>
      </w:r>
    </w:p>
    <w:p w14:paraId="1AE07A8E" w14:textId="314FC4F6" w:rsidR="00765AB2" w:rsidRDefault="00130961" w:rsidP="00395011">
      <w:pPr>
        <w:pStyle w:val="BBody1"/>
        <w:numPr>
          <w:ilvl w:val="0"/>
          <w:numId w:val="0"/>
        </w:numPr>
        <w:jc w:val="both"/>
      </w:pPr>
      <w:r>
        <w:t>There are two Protected Structures recorded on the Kerry CDP within the 1km study area. The close</w:t>
      </w:r>
      <w:r w:rsidR="00513601">
        <w:t>st</w:t>
      </w:r>
      <w:r>
        <w:t xml:space="preserve"> is Tarbert Lighthouse (RPS-KY-0891) which is located on the northern tip of foreshore on Tarbert Island</w:t>
      </w:r>
      <w:r w:rsidR="00513601">
        <w:t>,</w:t>
      </w:r>
      <w:r>
        <w:t xml:space="preserve"> 90m to the north of the Proposed Development.</w:t>
      </w:r>
      <w:r w:rsidR="008E088A">
        <w:t xml:space="preserve">  </w:t>
      </w:r>
      <w:r w:rsidR="00BC2D62">
        <w:t>One unrecorded heritage asset is noted within the boundaries of the Site.</w:t>
      </w:r>
      <w:r w:rsidR="00513601">
        <w:t xml:space="preserve"> </w:t>
      </w:r>
      <w:r w:rsidR="00BC2D62">
        <w:t xml:space="preserve"> This is the Light Keeper’s House which was associated with Tarbert Lighthouse (RPS-KY-0891) with both shown on the 1st edition OS map (1841).</w:t>
      </w:r>
    </w:p>
    <w:p w14:paraId="32D9E18C" w14:textId="5C43EAFB" w:rsidR="00130961" w:rsidRDefault="008E088A" w:rsidP="00395011">
      <w:pPr>
        <w:pStyle w:val="BBody1"/>
        <w:numPr>
          <w:ilvl w:val="0"/>
          <w:numId w:val="0"/>
        </w:numPr>
        <w:jc w:val="both"/>
        <w:rPr>
          <w:i/>
          <w:iCs/>
        </w:rPr>
      </w:pPr>
      <w:r>
        <w:t>The second Protected Structure is Tarbert House (RPS-KY-0884</w:t>
      </w:r>
      <w:proofErr w:type="gramStart"/>
      <w:r>
        <w:t>) ,</w:t>
      </w:r>
      <w:proofErr w:type="gramEnd"/>
      <w:r>
        <w:t xml:space="preserve"> a Georgian house which is located 807m to the south of the Proposed Development.</w:t>
      </w:r>
      <w:r w:rsidR="002E2334">
        <w:t xml:space="preserve">  The house and associated structures are located within the surrounding Planned Landscape, Tarbert Demesne (NIAH </w:t>
      </w:r>
      <w:proofErr w:type="gramStart"/>
      <w:r w:rsidR="002E2334">
        <w:t>2051)</w:t>
      </w:r>
      <w:r w:rsidR="00461ABE">
        <w:t>(</w:t>
      </w:r>
      <w:proofErr w:type="gramEnd"/>
      <w:r w:rsidR="00461ABE">
        <w:t>174m west of the Proposed Development site)</w:t>
      </w:r>
      <w:r w:rsidR="002E2334">
        <w:t xml:space="preserve">, which incorporates most of the peninsula onto the Shannon Estuary. Tarbert House is also recorded on the National Inventory of Architectural Heritage </w:t>
      </w:r>
      <w:r w:rsidR="00727A8E">
        <w:t>(NIAH 21300310)</w:t>
      </w:r>
      <w:r w:rsidR="002451AE">
        <w:t>.</w:t>
      </w:r>
    </w:p>
    <w:p w14:paraId="44BA46E5" w14:textId="77777777" w:rsidR="00395011" w:rsidRDefault="00395011" w:rsidP="00395011">
      <w:pPr>
        <w:pStyle w:val="Heading3"/>
      </w:pPr>
      <w:r>
        <w:t>Baseline</w:t>
      </w:r>
    </w:p>
    <w:p w14:paraId="24CB6FBC" w14:textId="799A454A" w:rsidR="00B33C72" w:rsidRDefault="00B33C72" w:rsidP="007D1D84">
      <w:pPr>
        <w:pStyle w:val="BBody1"/>
        <w:numPr>
          <w:ilvl w:val="0"/>
          <w:numId w:val="0"/>
        </w:numPr>
        <w:jc w:val="both"/>
      </w:pPr>
      <w:r>
        <w:t xml:space="preserve">Although </w:t>
      </w:r>
      <w:r w:rsidR="007D1D84">
        <w:t>the subject site</w:t>
      </w:r>
      <w:r>
        <w:t xml:space="preserve"> </w:t>
      </w:r>
      <w:proofErr w:type="gramStart"/>
      <w:r>
        <w:t>is located in</w:t>
      </w:r>
      <w:proofErr w:type="gramEnd"/>
      <w:r>
        <w:t xml:space="preserve"> Kerry County Council (KCC) only, the wider 3km study area</w:t>
      </w:r>
      <w:r w:rsidR="007D1D84">
        <w:t xml:space="preserve"> </w:t>
      </w:r>
      <w:r>
        <w:t>(refer to Figure 8.1, EIAR Volume III) around the Proposed Development extends into Counties Clare and Limerick</w:t>
      </w:r>
      <w:r w:rsidR="00DA348A">
        <w:t xml:space="preserve"> which are reviewed as part of the EIAR.</w:t>
      </w:r>
      <w:r>
        <w:t xml:space="preserve"> </w:t>
      </w:r>
      <w:r w:rsidR="001B0D5C">
        <w:t xml:space="preserve">Relevant policies in relation to </w:t>
      </w:r>
      <w:r w:rsidR="00DF3034">
        <w:t xml:space="preserve">the protection and preservation of </w:t>
      </w:r>
      <w:r w:rsidR="00551ABD">
        <w:t xml:space="preserve">Archaeology </w:t>
      </w:r>
      <w:r w:rsidR="00E0321E">
        <w:t xml:space="preserve">from Kerry CDP 2022-2028 </w:t>
      </w:r>
      <w:r w:rsidR="00551ABD">
        <w:t xml:space="preserve">include </w:t>
      </w:r>
      <w:r w:rsidR="00DF3034">
        <w:t>KCDP 8-24, KD</w:t>
      </w:r>
      <w:r w:rsidR="00EB7488">
        <w:t xml:space="preserve"> to </w:t>
      </w:r>
      <w:r w:rsidR="006A4AD9">
        <w:t>KCDP 8-27</w:t>
      </w:r>
      <w:r w:rsidR="006246A7">
        <w:t xml:space="preserve">, DCDP 8-33.  Policies </w:t>
      </w:r>
      <w:r w:rsidR="006246A7">
        <w:lastRenderedPageBreak/>
        <w:t>for the protection of the built heritage</w:t>
      </w:r>
      <w:r w:rsidR="003E7DE9">
        <w:t xml:space="preserve"> and historic landscapes</w:t>
      </w:r>
      <w:r w:rsidR="006246A7">
        <w:t xml:space="preserve"> </w:t>
      </w:r>
      <w:r w:rsidR="008520F6">
        <w:t>include KCDP 8-40, KCDP 8-44, KCDP 9-49</w:t>
      </w:r>
      <w:r w:rsidR="003E7DE9">
        <w:t>.</w:t>
      </w:r>
    </w:p>
    <w:p w14:paraId="2E77507C" w14:textId="3D511E64" w:rsidR="006A371A" w:rsidRDefault="006A371A" w:rsidP="007D1D84">
      <w:pPr>
        <w:pStyle w:val="BBody1"/>
        <w:numPr>
          <w:ilvl w:val="0"/>
          <w:numId w:val="0"/>
        </w:numPr>
        <w:jc w:val="both"/>
      </w:pPr>
      <w:r>
        <w:t xml:space="preserve">Relevant policies from Clare CDP 2023 – 2029 relating to the protection of Architectural Heritage </w:t>
      </w:r>
      <w:r w:rsidR="00770852">
        <w:t xml:space="preserve">and Archaeology </w:t>
      </w:r>
      <w:r>
        <w:t>include CDP 16.1, CDP 16.2</w:t>
      </w:r>
      <w:r w:rsidR="00770852">
        <w:t xml:space="preserve">, CDP 16.5, CDP 16.8, </w:t>
      </w:r>
      <w:r w:rsidR="00B45EE4">
        <w:t>16.9 and 16.12.</w:t>
      </w:r>
    </w:p>
    <w:p w14:paraId="7E2F81C8" w14:textId="471B165F" w:rsidR="00B45EE4" w:rsidRDefault="00B45EE4" w:rsidP="007D1D84">
      <w:pPr>
        <w:pStyle w:val="BBody1"/>
        <w:numPr>
          <w:ilvl w:val="0"/>
          <w:numId w:val="0"/>
        </w:numPr>
        <w:jc w:val="both"/>
      </w:pPr>
      <w:r>
        <w:t>Relevant policies</w:t>
      </w:r>
      <w:r w:rsidR="008A1510">
        <w:t xml:space="preserve"> for the protection of </w:t>
      </w:r>
      <w:r w:rsidR="00D80950">
        <w:t xml:space="preserve">Cultural </w:t>
      </w:r>
      <w:r w:rsidR="00B33B93">
        <w:t xml:space="preserve">and Built </w:t>
      </w:r>
      <w:r w:rsidR="00D80950">
        <w:t xml:space="preserve">Heritage and Archaeology </w:t>
      </w:r>
      <w:r>
        <w:t>from Limerick CDP 2022 – 2028 include Objective</w:t>
      </w:r>
      <w:r w:rsidR="00CA2AD0">
        <w:t xml:space="preserve">s EH 036, EH 037, </w:t>
      </w:r>
      <w:r w:rsidR="008A1510">
        <w:t>EH 039, EH 040</w:t>
      </w:r>
      <w:r w:rsidR="00D80950">
        <w:t xml:space="preserve">, EH </w:t>
      </w:r>
      <w:r w:rsidR="0032204A">
        <w:t>050, EH 052, EH, 053</w:t>
      </w:r>
      <w:r w:rsidR="0075308F">
        <w:t>.</w:t>
      </w:r>
    </w:p>
    <w:p w14:paraId="4B2A8EA0" w14:textId="77777777" w:rsidR="0075308F" w:rsidRDefault="0075308F" w:rsidP="0075308F">
      <w:pPr>
        <w:pStyle w:val="BBody1"/>
        <w:numPr>
          <w:ilvl w:val="0"/>
          <w:numId w:val="0"/>
        </w:numPr>
        <w:jc w:val="both"/>
      </w:pPr>
      <w:r>
        <w:t>A 1km study area has been used for non-designated assets and a 3km study area for designated assets, extending to 5km where applicable from the boundary of the Site, if intervisibility is possible (refer to Figure 8.1, EIAR Volume III).</w:t>
      </w:r>
    </w:p>
    <w:p w14:paraId="37080EBF" w14:textId="6565DD04" w:rsidR="0075308F" w:rsidRDefault="00BD7B86" w:rsidP="007D1D84">
      <w:pPr>
        <w:pStyle w:val="BBody1"/>
        <w:numPr>
          <w:ilvl w:val="0"/>
          <w:numId w:val="0"/>
        </w:numPr>
        <w:jc w:val="both"/>
      </w:pPr>
      <w:r>
        <w:t xml:space="preserve">The entire island is underlain by Made Ground, with natural topsoil and subsoils in the surrounding area consisting of </w:t>
      </w:r>
      <w:proofErr w:type="gramStart"/>
      <w:r>
        <w:t>Till</w:t>
      </w:r>
      <w:proofErr w:type="gramEnd"/>
      <w:r>
        <w:t xml:space="preserve"> derived from sandstone and shale (AECOM, 2022). </w:t>
      </w:r>
    </w:p>
    <w:p w14:paraId="2A878988" w14:textId="77777777" w:rsidR="00395011" w:rsidRDefault="00395011" w:rsidP="00395011">
      <w:pPr>
        <w:pStyle w:val="Heading2"/>
      </w:pPr>
      <w:r>
        <w:t>Potential Effects</w:t>
      </w:r>
    </w:p>
    <w:p w14:paraId="56DA12C0" w14:textId="54601AB0" w:rsidR="009B6529" w:rsidRPr="00EB28E7" w:rsidRDefault="00395011" w:rsidP="00395011">
      <w:pPr>
        <w:jc w:val="both"/>
        <w:rPr>
          <w:rFonts w:ascii="Arial" w:hAnsi="Arial" w:cs="Arial"/>
          <w:sz w:val="24"/>
          <w:szCs w:val="24"/>
        </w:rPr>
      </w:pPr>
      <w:r w:rsidRPr="00E10034">
        <w:rPr>
          <w:rFonts w:ascii="Arial" w:hAnsi="Arial" w:cs="Arial"/>
          <w:sz w:val="24"/>
          <w:szCs w:val="24"/>
        </w:rPr>
        <w:t xml:space="preserve">Likely significant effects of the development, as identified in the EIAR are summarised in Table </w:t>
      </w:r>
      <w:r w:rsidR="005B569E">
        <w:rPr>
          <w:rFonts w:ascii="Arial" w:hAnsi="Arial" w:cs="Arial"/>
          <w:sz w:val="24"/>
          <w:szCs w:val="24"/>
        </w:rPr>
        <w:t>9</w:t>
      </w:r>
      <w:r w:rsidRPr="00E10034">
        <w:rPr>
          <w:rFonts w:ascii="Arial" w:hAnsi="Arial" w:cs="Arial"/>
          <w:sz w:val="24"/>
          <w:szCs w:val="24"/>
        </w:rPr>
        <w:t>.1 below.</w:t>
      </w:r>
    </w:p>
    <w:tbl>
      <w:tblPr>
        <w:tblStyle w:val="TableGrid"/>
        <w:tblW w:w="0" w:type="auto"/>
        <w:tblLook w:val="04A0" w:firstRow="1" w:lastRow="0" w:firstColumn="1" w:lastColumn="0" w:noHBand="0" w:noVBand="1"/>
      </w:tblPr>
      <w:tblGrid>
        <w:gridCol w:w="9016"/>
      </w:tblGrid>
      <w:tr w:rsidR="00395011" w:rsidRPr="00E10034" w14:paraId="29B7C72B" w14:textId="77777777" w:rsidTr="000F17CE">
        <w:tc>
          <w:tcPr>
            <w:tcW w:w="9016" w:type="dxa"/>
            <w:shd w:val="clear" w:color="auto" w:fill="BFBFBF" w:themeFill="background1" w:themeFillShade="BF"/>
          </w:tcPr>
          <w:p w14:paraId="1015A717" w14:textId="795F246C" w:rsidR="00395011" w:rsidRPr="004C27B1" w:rsidRDefault="00395011" w:rsidP="000F17CE">
            <w:pPr>
              <w:tabs>
                <w:tab w:val="center" w:pos="4400"/>
              </w:tabs>
              <w:jc w:val="both"/>
              <w:rPr>
                <w:rFonts w:ascii="Arial" w:hAnsi="Arial" w:cs="Arial"/>
                <w:b/>
                <w:bCs/>
              </w:rPr>
            </w:pPr>
            <w:r w:rsidRPr="004C27B1">
              <w:rPr>
                <w:rFonts w:ascii="Arial" w:hAnsi="Arial" w:cs="Arial"/>
                <w:b/>
                <w:bCs/>
              </w:rPr>
              <w:t xml:space="preserve">Table </w:t>
            </w:r>
            <w:r w:rsidR="005B569E" w:rsidRPr="004C27B1">
              <w:rPr>
                <w:rFonts w:ascii="Arial" w:hAnsi="Arial" w:cs="Arial"/>
                <w:b/>
                <w:bCs/>
              </w:rPr>
              <w:t>9</w:t>
            </w:r>
            <w:r w:rsidRPr="004C27B1">
              <w:rPr>
                <w:rFonts w:ascii="Arial" w:hAnsi="Arial" w:cs="Arial"/>
                <w:b/>
                <w:bCs/>
              </w:rPr>
              <w:t xml:space="preserve">.1:  Summary of Potential Effects </w:t>
            </w:r>
            <w:r w:rsidR="005B569E" w:rsidRPr="004C27B1">
              <w:rPr>
                <w:rFonts w:ascii="Arial" w:hAnsi="Arial" w:cs="Arial"/>
                <w:b/>
                <w:bCs/>
              </w:rPr>
              <w:t>(Cultural Heritage)</w:t>
            </w:r>
          </w:p>
        </w:tc>
      </w:tr>
      <w:tr w:rsidR="00395011" w:rsidRPr="00E10034" w14:paraId="32C46938" w14:textId="77777777" w:rsidTr="000F17CE">
        <w:tc>
          <w:tcPr>
            <w:tcW w:w="9016" w:type="dxa"/>
            <w:shd w:val="clear" w:color="auto" w:fill="D9D9D9" w:themeFill="background1" w:themeFillShade="D9"/>
          </w:tcPr>
          <w:p w14:paraId="0A607DBD" w14:textId="77777777" w:rsidR="00395011" w:rsidRPr="004C27B1" w:rsidRDefault="00395011" w:rsidP="000F17CE">
            <w:pPr>
              <w:tabs>
                <w:tab w:val="center" w:pos="4400"/>
              </w:tabs>
              <w:jc w:val="both"/>
              <w:rPr>
                <w:rFonts w:ascii="Arial" w:hAnsi="Arial" w:cs="Arial"/>
              </w:rPr>
            </w:pPr>
            <w:r w:rsidRPr="004C27B1">
              <w:rPr>
                <w:rFonts w:ascii="Arial" w:hAnsi="Arial" w:cs="Arial"/>
                <w:b/>
                <w:bCs/>
              </w:rPr>
              <w:t>Do Nothing</w:t>
            </w:r>
            <w:r w:rsidRPr="004C27B1">
              <w:rPr>
                <w:rFonts w:ascii="Arial" w:hAnsi="Arial" w:cs="Arial"/>
                <w:b/>
                <w:bCs/>
              </w:rPr>
              <w:tab/>
            </w:r>
          </w:p>
        </w:tc>
      </w:tr>
      <w:tr w:rsidR="00395011" w:rsidRPr="00E10034" w14:paraId="4A7EF8FE" w14:textId="77777777" w:rsidTr="000F17CE">
        <w:tc>
          <w:tcPr>
            <w:tcW w:w="9016" w:type="dxa"/>
          </w:tcPr>
          <w:p w14:paraId="34054D9B" w14:textId="3EEE53B3" w:rsidR="00395011" w:rsidRPr="00E715E2" w:rsidRDefault="009E20D1" w:rsidP="00E715E2">
            <w:pPr>
              <w:pStyle w:val="ListParagraph"/>
              <w:numPr>
                <w:ilvl w:val="0"/>
                <w:numId w:val="41"/>
              </w:numPr>
              <w:spacing w:after="0" w:line="240" w:lineRule="auto"/>
              <w:jc w:val="both"/>
              <w:rPr>
                <w:sz w:val="22"/>
                <w:szCs w:val="22"/>
              </w:rPr>
            </w:pPr>
            <w:r w:rsidRPr="004C27B1">
              <w:rPr>
                <w:sz w:val="22"/>
                <w:szCs w:val="22"/>
              </w:rPr>
              <w:t xml:space="preserve">Would </w:t>
            </w:r>
            <w:r w:rsidR="009035E8" w:rsidRPr="004C27B1">
              <w:rPr>
                <w:sz w:val="22"/>
                <w:szCs w:val="22"/>
              </w:rPr>
              <w:t xml:space="preserve">not </w:t>
            </w:r>
            <w:r w:rsidRPr="004C27B1">
              <w:rPr>
                <w:sz w:val="22"/>
                <w:szCs w:val="22"/>
              </w:rPr>
              <w:t>result</w:t>
            </w:r>
            <w:r w:rsidR="009035E8" w:rsidRPr="004C27B1">
              <w:rPr>
                <w:sz w:val="22"/>
                <w:szCs w:val="22"/>
              </w:rPr>
              <w:t xml:space="preserve"> in any significant changes to the baseline cultural heritage resource.  </w:t>
            </w:r>
          </w:p>
        </w:tc>
      </w:tr>
      <w:tr w:rsidR="00395011" w:rsidRPr="00E10034" w14:paraId="4DA7A91F" w14:textId="77777777" w:rsidTr="000F17CE">
        <w:tc>
          <w:tcPr>
            <w:tcW w:w="9016" w:type="dxa"/>
            <w:shd w:val="clear" w:color="auto" w:fill="D9D9D9" w:themeFill="background1" w:themeFillShade="D9"/>
          </w:tcPr>
          <w:p w14:paraId="0422FF45" w14:textId="77777777" w:rsidR="00395011" w:rsidRPr="004C27B1" w:rsidRDefault="00395011" w:rsidP="000F17CE">
            <w:pPr>
              <w:jc w:val="both"/>
              <w:rPr>
                <w:rFonts w:ascii="Arial" w:hAnsi="Arial" w:cs="Arial"/>
              </w:rPr>
            </w:pPr>
            <w:r w:rsidRPr="004C27B1">
              <w:rPr>
                <w:rFonts w:ascii="Arial" w:hAnsi="Arial" w:cs="Arial"/>
                <w:b/>
                <w:bCs/>
              </w:rPr>
              <w:t>Construction</w:t>
            </w:r>
          </w:p>
        </w:tc>
      </w:tr>
      <w:tr w:rsidR="00395011" w:rsidRPr="00E10034" w14:paraId="74F24735" w14:textId="77777777" w:rsidTr="000F17CE">
        <w:tc>
          <w:tcPr>
            <w:tcW w:w="9016" w:type="dxa"/>
          </w:tcPr>
          <w:p w14:paraId="5F90BBE2" w14:textId="6279B943" w:rsidR="00AF3637" w:rsidRPr="004C27B1" w:rsidRDefault="00AF3637" w:rsidP="00C6208E">
            <w:pPr>
              <w:pStyle w:val="ListParagraph"/>
              <w:numPr>
                <w:ilvl w:val="0"/>
                <w:numId w:val="41"/>
              </w:numPr>
              <w:spacing w:after="0" w:line="240" w:lineRule="auto"/>
              <w:jc w:val="both"/>
              <w:rPr>
                <w:sz w:val="22"/>
                <w:szCs w:val="22"/>
              </w:rPr>
            </w:pPr>
            <w:r w:rsidRPr="004C27B1">
              <w:rPr>
                <w:sz w:val="22"/>
                <w:szCs w:val="22"/>
              </w:rPr>
              <w:t xml:space="preserve">Construction of the Proposed Development has the likelihood to impact heritage assets in the following ways: </w:t>
            </w:r>
          </w:p>
          <w:p w14:paraId="3BA13933" w14:textId="6521D078" w:rsidR="00395011" w:rsidRPr="004C27B1" w:rsidRDefault="00AF3637" w:rsidP="00C6208E">
            <w:pPr>
              <w:pStyle w:val="ListParagraph"/>
              <w:numPr>
                <w:ilvl w:val="0"/>
                <w:numId w:val="47"/>
              </w:numPr>
              <w:spacing w:after="0" w:line="240" w:lineRule="auto"/>
              <w:jc w:val="both"/>
              <w:rPr>
                <w:sz w:val="22"/>
                <w:szCs w:val="22"/>
              </w:rPr>
            </w:pPr>
            <w:r w:rsidRPr="004C27B1">
              <w:rPr>
                <w:sz w:val="22"/>
                <w:szCs w:val="22"/>
              </w:rPr>
              <w:t xml:space="preserve">Partial or total removal of heritage assets during Site clearance and construction of the Proposed Development and associated features and infrastructure within the Site. </w:t>
            </w:r>
          </w:p>
          <w:p w14:paraId="742E7162" w14:textId="5FB0ACD2" w:rsidR="0091326B" w:rsidRPr="004C27B1" w:rsidRDefault="0091326B" w:rsidP="00C6208E">
            <w:pPr>
              <w:pStyle w:val="ListParagraph"/>
              <w:numPr>
                <w:ilvl w:val="0"/>
                <w:numId w:val="47"/>
              </w:numPr>
              <w:spacing w:after="0" w:line="240" w:lineRule="auto"/>
              <w:jc w:val="both"/>
              <w:rPr>
                <w:sz w:val="22"/>
                <w:szCs w:val="22"/>
              </w:rPr>
            </w:pPr>
            <w:r w:rsidRPr="004C27B1">
              <w:rPr>
                <w:sz w:val="22"/>
                <w:szCs w:val="22"/>
              </w:rPr>
              <w:t xml:space="preserve">Impact of any soil regrading on the setting of heritage assets, and damage caused to archaeological deposits caused by concrete walls such as the proposed flood defences; and </w:t>
            </w:r>
          </w:p>
          <w:p w14:paraId="743565C3" w14:textId="425BEF63" w:rsidR="00C01951" w:rsidRPr="003F6103" w:rsidRDefault="0091326B" w:rsidP="003F6103">
            <w:pPr>
              <w:pStyle w:val="ListParagraph"/>
              <w:numPr>
                <w:ilvl w:val="0"/>
                <w:numId w:val="47"/>
              </w:numPr>
              <w:spacing w:after="0" w:line="240" w:lineRule="auto"/>
              <w:jc w:val="both"/>
              <w:rPr>
                <w:sz w:val="22"/>
                <w:szCs w:val="22"/>
              </w:rPr>
            </w:pPr>
            <w:r w:rsidRPr="004C27B1">
              <w:rPr>
                <w:sz w:val="22"/>
                <w:szCs w:val="22"/>
              </w:rPr>
              <w:t>Change to the setting of heritage assets, including visual and noise intrusion, and changes in traffic levels (construction phase only).</w:t>
            </w:r>
          </w:p>
          <w:p w14:paraId="40F409C8" w14:textId="6329BC53" w:rsidR="004E7C36" w:rsidRPr="004C27B1" w:rsidRDefault="004E7C36" w:rsidP="00C6208E">
            <w:pPr>
              <w:pStyle w:val="ListParagraph"/>
              <w:numPr>
                <w:ilvl w:val="0"/>
                <w:numId w:val="41"/>
              </w:numPr>
              <w:spacing w:after="0" w:line="240" w:lineRule="auto"/>
              <w:jc w:val="both"/>
              <w:rPr>
                <w:sz w:val="22"/>
                <w:szCs w:val="22"/>
              </w:rPr>
            </w:pPr>
            <w:r w:rsidRPr="004C27B1">
              <w:rPr>
                <w:sz w:val="22"/>
                <w:szCs w:val="22"/>
              </w:rPr>
              <w:t xml:space="preserve">The </w:t>
            </w:r>
            <w:r w:rsidRPr="004C27B1">
              <w:rPr>
                <w:b/>
                <w:bCs/>
                <w:sz w:val="22"/>
                <w:szCs w:val="22"/>
              </w:rPr>
              <w:t>Light Keeper’s House</w:t>
            </w:r>
            <w:r w:rsidRPr="004C27B1">
              <w:rPr>
                <w:sz w:val="22"/>
                <w:szCs w:val="22"/>
              </w:rPr>
              <w:t xml:space="preserve"> will not be physically impacted although it is within the Site boundary. </w:t>
            </w:r>
            <w:r w:rsidR="00814BE4" w:rsidRPr="004C27B1">
              <w:rPr>
                <w:sz w:val="22"/>
                <w:szCs w:val="22"/>
              </w:rPr>
              <w:t>The existing Tarbert HFO Power Station building is larger than the Proposed Development. The change to setting would be such that the special interests or qualities of the Lighthouse Keeper’s House are only slightly affected without a noticeable change, leading to a magnitude of impact of Low, leading to a significance of effect of Slight. The quality of the Slight significance of effect is judged as Neutral while its duration is Long-Term</w:t>
            </w:r>
            <w:r w:rsidR="009F6B33" w:rsidRPr="004C27B1">
              <w:rPr>
                <w:sz w:val="22"/>
                <w:szCs w:val="22"/>
              </w:rPr>
              <w:t>.</w:t>
            </w:r>
          </w:p>
          <w:p w14:paraId="26F95E38" w14:textId="02A80550" w:rsidR="009F6B33" w:rsidRPr="004C27B1" w:rsidRDefault="00C2154F" w:rsidP="00C6208E">
            <w:pPr>
              <w:pStyle w:val="ListParagraph"/>
              <w:numPr>
                <w:ilvl w:val="0"/>
                <w:numId w:val="41"/>
              </w:numPr>
              <w:spacing w:after="0" w:line="240" w:lineRule="auto"/>
              <w:jc w:val="both"/>
              <w:rPr>
                <w:sz w:val="22"/>
                <w:szCs w:val="22"/>
              </w:rPr>
            </w:pPr>
            <w:r w:rsidRPr="004C27B1">
              <w:rPr>
                <w:sz w:val="22"/>
                <w:szCs w:val="22"/>
              </w:rPr>
              <w:t>There are no extant recorded archaeological remains within the footprint of the Proposed Development.</w:t>
            </w:r>
            <w:r w:rsidR="00442FE9" w:rsidRPr="004C27B1">
              <w:rPr>
                <w:sz w:val="22"/>
                <w:szCs w:val="22"/>
              </w:rPr>
              <w:t xml:space="preserve">  Given these conditions, no previously unrecorded heritage </w:t>
            </w:r>
            <w:r w:rsidR="00442FE9" w:rsidRPr="004C27B1">
              <w:rPr>
                <w:sz w:val="22"/>
                <w:szCs w:val="22"/>
              </w:rPr>
              <w:lastRenderedPageBreak/>
              <w:t>assets, of likely local importance, will be impacted by groundworks associated with the Proposed Development</w:t>
            </w:r>
            <w:r w:rsidR="00E715E2">
              <w:rPr>
                <w:sz w:val="22"/>
                <w:szCs w:val="22"/>
              </w:rPr>
              <w:t xml:space="preserve"> and hence, n</w:t>
            </w:r>
            <w:r w:rsidR="003F6103">
              <w:rPr>
                <w:sz w:val="22"/>
                <w:szCs w:val="22"/>
              </w:rPr>
              <w:t>o impact</w:t>
            </w:r>
            <w:r w:rsidR="00E715E2">
              <w:rPr>
                <w:sz w:val="22"/>
                <w:szCs w:val="22"/>
              </w:rPr>
              <w:t xml:space="preserve"> expected</w:t>
            </w:r>
            <w:r w:rsidR="003F6103">
              <w:rPr>
                <w:sz w:val="22"/>
                <w:szCs w:val="22"/>
              </w:rPr>
              <w:t>.</w:t>
            </w:r>
          </w:p>
          <w:p w14:paraId="3AAB4DC5" w14:textId="6CDDAD32" w:rsidR="00442FE9" w:rsidRPr="004C27B1" w:rsidRDefault="00442FE9" w:rsidP="00C6208E">
            <w:pPr>
              <w:pStyle w:val="ListParagraph"/>
              <w:numPr>
                <w:ilvl w:val="0"/>
                <w:numId w:val="41"/>
              </w:numPr>
              <w:spacing w:after="0" w:line="240" w:lineRule="auto"/>
              <w:jc w:val="both"/>
              <w:rPr>
                <w:sz w:val="22"/>
                <w:szCs w:val="22"/>
              </w:rPr>
            </w:pPr>
            <w:r w:rsidRPr="004C27B1">
              <w:rPr>
                <w:sz w:val="22"/>
                <w:szCs w:val="22"/>
              </w:rPr>
              <w:t xml:space="preserve">The closest recorded heritage asset to the Proposed Development is </w:t>
            </w:r>
            <w:r w:rsidRPr="004C27B1">
              <w:rPr>
                <w:b/>
                <w:bCs/>
                <w:sz w:val="22"/>
                <w:szCs w:val="22"/>
              </w:rPr>
              <w:t>Tarbert Lighthouse (RPS</w:t>
            </w:r>
            <w:r w:rsidR="0091480F" w:rsidRPr="004C27B1">
              <w:rPr>
                <w:b/>
                <w:bCs/>
                <w:sz w:val="22"/>
                <w:szCs w:val="22"/>
              </w:rPr>
              <w:t>-</w:t>
            </w:r>
            <w:r w:rsidRPr="004C27B1">
              <w:rPr>
                <w:b/>
                <w:bCs/>
                <w:sz w:val="22"/>
                <w:szCs w:val="22"/>
              </w:rPr>
              <w:t>KY</w:t>
            </w:r>
            <w:r w:rsidR="0091480F" w:rsidRPr="004C27B1">
              <w:rPr>
                <w:b/>
                <w:bCs/>
                <w:sz w:val="22"/>
                <w:szCs w:val="22"/>
              </w:rPr>
              <w:t>-</w:t>
            </w:r>
            <w:r w:rsidRPr="004C27B1">
              <w:rPr>
                <w:b/>
                <w:bCs/>
                <w:sz w:val="22"/>
                <w:szCs w:val="22"/>
              </w:rPr>
              <w:t>0891)</w:t>
            </w:r>
            <w:r w:rsidRPr="004C27B1">
              <w:rPr>
                <w:sz w:val="22"/>
                <w:szCs w:val="22"/>
              </w:rPr>
              <w:t xml:space="preserve"> which is located 90m to the north. </w:t>
            </w:r>
            <w:r w:rsidR="007E0A59" w:rsidRPr="004C27B1">
              <w:rPr>
                <w:sz w:val="22"/>
                <w:szCs w:val="22"/>
              </w:rPr>
              <w:t xml:space="preserve">The </w:t>
            </w:r>
            <w:r w:rsidR="007E0A59" w:rsidRPr="004C27B1">
              <w:rPr>
                <w:b/>
                <w:bCs/>
                <w:sz w:val="22"/>
                <w:szCs w:val="22"/>
              </w:rPr>
              <w:t>bastioned battery (KE003-001)</w:t>
            </w:r>
            <w:r w:rsidR="007E0A59" w:rsidRPr="004C27B1">
              <w:rPr>
                <w:sz w:val="22"/>
                <w:szCs w:val="22"/>
              </w:rPr>
              <w:t xml:space="preserve"> is located on the high ground of Massy’s Hill overlooking the Shannon Estuary and Tarbert Island.  </w:t>
            </w:r>
            <w:r w:rsidR="00ED611B" w:rsidRPr="004C27B1">
              <w:rPr>
                <w:sz w:val="22"/>
                <w:szCs w:val="22"/>
              </w:rPr>
              <w:t>The change to setting</w:t>
            </w:r>
            <w:r w:rsidR="007E0A59" w:rsidRPr="004C27B1">
              <w:rPr>
                <w:sz w:val="22"/>
                <w:szCs w:val="22"/>
              </w:rPr>
              <w:t xml:space="preserve"> to both structures</w:t>
            </w:r>
            <w:r w:rsidR="00ED611B" w:rsidRPr="004C27B1">
              <w:rPr>
                <w:sz w:val="22"/>
                <w:szCs w:val="22"/>
              </w:rPr>
              <w:t xml:space="preserve"> would be such that the special interests or qualities of Tarbert Lighthouse are only slightly affected without a noticeable change</w:t>
            </w:r>
            <w:r w:rsidR="008E0DE3" w:rsidRPr="004C27B1">
              <w:rPr>
                <w:sz w:val="22"/>
                <w:szCs w:val="22"/>
              </w:rPr>
              <w:t>.</w:t>
            </w:r>
          </w:p>
          <w:p w14:paraId="13B24DB8" w14:textId="17277172" w:rsidR="00AA26B2" w:rsidRPr="004C27B1" w:rsidRDefault="00AA26B2" w:rsidP="00C6208E">
            <w:pPr>
              <w:pStyle w:val="ListParagraph"/>
              <w:numPr>
                <w:ilvl w:val="0"/>
                <w:numId w:val="41"/>
              </w:numPr>
              <w:spacing w:after="0" w:line="240" w:lineRule="auto"/>
              <w:jc w:val="both"/>
              <w:rPr>
                <w:sz w:val="22"/>
                <w:szCs w:val="22"/>
              </w:rPr>
            </w:pPr>
            <w:r w:rsidRPr="004C27B1">
              <w:rPr>
                <w:sz w:val="22"/>
                <w:szCs w:val="22"/>
              </w:rPr>
              <w:t xml:space="preserve">The locally important Planned Landscape of </w:t>
            </w:r>
            <w:r w:rsidRPr="004C27B1">
              <w:rPr>
                <w:b/>
                <w:bCs/>
                <w:sz w:val="22"/>
                <w:szCs w:val="22"/>
              </w:rPr>
              <w:t>Tarbert Demesne (NIAH 2051)</w:t>
            </w:r>
            <w:r w:rsidRPr="004C27B1">
              <w:rPr>
                <w:sz w:val="22"/>
                <w:szCs w:val="22"/>
              </w:rPr>
              <w:t xml:space="preserve"> is located to the south of the Proposed Development which will be partially screened by the larger existing Tarbert HFO Power Station as well as other infrastructure including the substation.</w:t>
            </w:r>
            <w:r w:rsidR="00744738" w:rsidRPr="004C27B1">
              <w:rPr>
                <w:sz w:val="22"/>
                <w:szCs w:val="22"/>
              </w:rPr>
              <w:t xml:space="preserve">  The change to setting would be such that the special interests or qualities of the Tarbert Demesne (NIAH 2051) are only slightly affected without a noticeable change</w:t>
            </w:r>
            <w:r w:rsidR="008E0DE3" w:rsidRPr="004C27B1">
              <w:rPr>
                <w:sz w:val="22"/>
                <w:szCs w:val="22"/>
              </w:rPr>
              <w:t>.</w:t>
            </w:r>
            <w:r w:rsidR="005A002D" w:rsidRPr="004C27B1">
              <w:rPr>
                <w:sz w:val="22"/>
                <w:szCs w:val="22"/>
              </w:rPr>
              <w:t xml:space="preserve">  This mature planting effectively blocks views between the Proposed Development and the heritage assets to the south. </w:t>
            </w:r>
          </w:p>
          <w:p w14:paraId="2484C362" w14:textId="675AAA88" w:rsidR="004E7C36" w:rsidRPr="004C27B1" w:rsidRDefault="00A132A8" w:rsidP="00C6208E">
            <w:pPr>
              <w:pStyle w:val="ListParagraph"/>
              <w:numPr>
                <w:ilvl w:val="0"/>
                <w:numId w:val="41"/>
              </w:numPr>
              <w:spacing w:after="0" w:line="240" w:lineRule="auto"/>
              <w:jc w:val="both"/>
              <w:rPr>
                <w:sz w:val="22"/>
                <w:szCs w:val="22"/>
              </w:rPr>
            </w:pPr>
            <w:r w:rsidRPr="004C27B1">
              <w:rPr>
                <w:sz w:val="22"/>
                <w:szCs w:val="22"/>
              </w:rPr>
              <w:t xml:space="preserve">The Proposed Development will create additional noise, dust, vibration, and visual intrusion from the construction related activity including traffic using the adjacent road which is the only access to the SSE Tarbert Power Station and the Proposed Development. The presence of Tarbert Demesne (NIAH 2051) will screen the additional noise, dust, and vibration from construction activities on Site from these heritage assets. </w:t>
            </w:r>
          </w:p>
          <w:p w14:paraId="79B3F0F7" w14:textId="77777777" w:rsidR="006872BE" w:rsidRPr="004C27B1" w:rsidRDefault="006872BE" w:rsidP="00C6208E">
            <w:pPr>
              <w:pStyle w:val="ListParagraph"/>
              <w:numPr>
                <w:ilvl w:val="0"/>
                <w:numId w:val="41"/>
              </w:numPr>
              <w:spacing w:after="0" w:line="240" w:lineRule="auto"/>
              <w:jc w:val="both"/>
              <w:rPr>
                <w:sz w:val="22"/>
                <w:szCs w:val="22"/>
              </w:rPr>
            </w:pPr>
            <w:r w:rsidRPr="004C27B1">
              <w:rPr>
                <w:sz w:val="22"/>
                <w:szCs w:val="22"/>
              </w:rPr>
              <w:t xml:space="preserve">Similarly, views between the designated heritage assets within Tarbert and the Proposed Development are also screened by the dense vegetation of Tarbert Demesne (NIAH 2051) </w:t>
            </w:r>
            <w:proofErr w:type="gramStart"/>
            <w:r w:rsidRPr="004C27B1">
              <w:rPr>
                <w:sz w:val="22"/>
                <w:szCs w:val="22"/>
              </w:rPr>
              <w:t>and also</w:t>
            </w:r>
            <w:proofErr w:type="gramEnd"/>
            <w:r w:rsidRPr="004C27B1">
              <w:rPr>
                <w:sz w:val="22"/>
                <w:szCs w:val="22"/>
              </w:rPr>
              <w:t xml:space="preserve"> intervening buildings. There are no views between </w:t>
            </w:r>
            <w:proofErr w:type="spellStart"/>
            <w:r w:rsidRPr="00E60842">
              <w:rPr>
                <w:b/>
                <w:bCs/>
                <w:sz w:val="22"/>
                <w:szCs w:val="22"/>
              </w:rPr>
              <w:t>Coolahans</w:t>
            </w:r>
            <w:proofErr w:type="spellEnd"/>
            <w:r w:rsidRPr="00E60842">
              <w:rPr>
                <w:b/>
                <w:bCs/>
                <w:sz w:val="22"/>
                <w:szCs w:val="22"/>
              </w:rPr>
              <w:t xml:space="preserve"> (RPS-KY-0879),</w:t>
            </w:r>
            <w:r w:rsidRPr="004C27B1">
              <w:rPr>
                <w:sz w:val="22"/>
                <w:szCs w:val="22"/>
              </w:rPr>
              <w:t xml:space="preserve"> the buildings of Tarbert ACA, </w:t>
            </w:r>
            <w:r w:rsidRPr="00E60842">
              <w:rPr>
                <w:b/>
                <w:bCs/>
                <w:sz w:val="22"/>
                <w:szCs w:val="22"/>
              </w:rPr>
              <w:t>Saint Mary's Catholic Church (RPS-KY-0886)</w:t>
            </w:r>
            <w:r w:rsidRPr="004C27B1">
              <w:rPr>
                <w:sz w:val="22"/>
                <w:szCs w:val="22"/>
              </w:rPr>
              <w:t xml:space="preserve"> and its adjacent</w:t>
            </w:r>
            <w:r w:rsidRPr="00E60842">
              <w:rPr>
                <w:b/>
                <w:bCs/>
                <w:sz w:val="22"/>
                <w:szCs w:val="22"/>
              </w:rPr>
              <w:t xml:space="preserve"> Presbytery (RPS-KY-0885) </w:t>
            </w:r>
            <w:r w:rsidRPr="004C27B1">
              <w:rPr>
                <w:sz w:val="22"/>
                <w:szCs w:val="22"/>
              </w:rPr>
              <w:t>and the Proposed Development while the intervening distance will screen the additional noise, dust, and vibration from construction activities on Site.</w:t>
            </w:r>
          </w:p>
          <w:p w14:paraId="2B0F4799" w14:textId="2D0E5288" w:rsidR="00642A30" w:rsidRPr="004C27B1" w:rsidRDefault="00642A30" w:rsidP="00C6208E">
            <w:pPr>
              <w:pStyle w:val="ListParagraph"/>
              <w:numPr>
                <w:ilvl w:val="0"/>
                <w:numId w:val="41"/>
              </w:numPr>
              <w:spacing w:after="0" w:line="240" w:lineRule="auto"/>
              <w:jc w:val="both"/>
              <w:rPr>
                <w:sz w:val="22"/>
                <w:szCs w:val="22"/>
              </w:rPr>
            </w:pPr>
            <w:r w:rsidRPr="004C27B1">
              <w:rPr>
                <w:sz w:val="22"/>
                <w:szCs w:val="22"/>
              </w:rPr>
              <w:t xml:space="preserve">The presence of the Proposed Development will not affect </w:t>
            </w:r>
            <w:r w:rsidR="00E60842">
              <w:rPr>
                <w:sz w:val="22"/>
                <w:szCs w:val="22"/>
              </w:rPr>
              <w:t xml:space="preserve">the </w:t>
            </w:r>
            <w:r w:rsidRPr="004C27B1">
              <w:rPr>
                <w:sz w:val="22"/>
                <w:szCs w:val="22"/>
              </w:rPr>
              <w:t>ability to comprehend or appreciate the ACA of Demesne of Glin Castle.</w:t>
            </w:r>
          </w:p>
          <w:p w14:paraId="370F1CB3" w14:textId="77777777" w:rsidR="00A7524A" w:rsidRPr="004C27B1" w:rsidRDefault="00A7524A" w:rsidP="00C6208E">
            <w:pPr>
              <w:pStyle w:val="ListParagraph"/>
              <w:numPr>
                <w:ilvl w:val="0"/>
                <w:numId w:val="41"/>
              </w:numPr>
              <w:spacing w:after="0" w:line="240" w:lineRule="auto"/>
              <w:jc w:val="both"/>
              <w:rPr>
                <w:sz w:val="22"/>
                <w:szCs w:val="22"/>
              </w:rPr>
            </w:pPr>
            <w:proofErr w:type="spellStart"/>
            <w:r w:rsidRPr="00E60842">
              <w:rPr>
                <w:b/>
                <w:bCs/>
                <w:sz w:val="22"/>
                <w:szCs w:val="22"/>
              </w:rPr>
              <w:t>Bessborough</w:t>
            </w:r>
            <w:proofErr w:type="spellEnd"/>
            <w:r w:rsidRPr="00E60842">
              <w:rPr>
                <w:b/>
                <w:bCs/>
                <w:sz w:val="22"/>
                <w:szCs w:val="22"/>
              </w:rPr>
              <w:t xml:space="preserve"> House (RPS 483)</w:t>
            </w:r>
            <w:r w:rsidRPr="004C27B1">
              <w:rPr>
                <w:sz w:val="22"/>
                <w:szCs w:val="22"/>
              </w:rPr>
              <w:t xml:space="preserve"> is located within its own grounds to the immediate west of Killimer.</w:t>
            </w:r>
            <w:r w:rsidR="00791C31" w:rsidRPr="004C27B1">
              <w:rPr>
                <w:sz w:val="22"/>
                <w:szCs w:val="22"/>
              </w:rPr>
              <w:t xml:space="preserve">  The new structures will initially blend into the overall existing industrial landscape of the Tarbert HFO Power Station which, </w:t>
            </w:r>
            <w:proofErr w:type="gramStart"/>
            <w:r w:rsidR="00791C31" w:rsidRPr="004C27B1">
              <w:rPr>
                <w:sz w:val="22"/>
                <w:szCs w:val="22"/>
              </w:rPr>
              <w:t>with the exception of</w:t>
            </w:r>
            <w:proofErr w:type="gramEnd"/>
            <w:r w:rsidR="00791C31" w:rsidRPr="004C27B1">
              <w:rPr>
                <w:sz w:val="22"/>
                <w:szCs w:val="22"/>
              </w:rPr>
              <w:t xml:space="preserve"> the 151m emissions stacks, blend against higher ground to the south. The shorter 55m emissions stack will be less prominent with the Proposed Development much less apparent on the skyline.</w:t>
            </w:r>
          </w:p>
          <w:p w14:paraId="5C45DD8F" w14:textId="77777777" w:rsidR="00EA2280" w:rsidRPr="004C27B1" w:rsidRDefault="00334732" w:rsidP="00C6208E">
            <w:pPr>
              <w:pStyle w:val="ListParagraph"/>
              <w:numPr>
                <w:ilvl w:val="0"/>
                <w:numId w:val="41"/>
              </w:numPr>
              <w:spacing w:after="0" w:line="240" w:lineRule="auto"/>
              <w:jc w:val="both"/>
              <w:rPr>
                <w:sz w:val="22"/>
                <w:szCs w:val="22"/>
              </w:rPr>
            </w:pPr>
            <w:r w:rsidRPr="00E60842">
              <w:rPr>
                <w:b/>
                <w:bCs/>
                <w:sz w:val="22"/>
                <w:szCs w:val="22"/>
              </w:rPr>
              <w:t>Oaklands (RPS 036)</w:t>
            </w:r>
            <w:r w:rsidRPr="004C27B1">
              <w:rPr>
                <w:sz w:val="22"/>
                <w:szCs w:val="22"/>
              </w:rPr>
              <w:t xml:space="preserve"> is located at Knock in Co. Clare 4.5km to the north-east of the Site.</w:t>
            </w:r>
            <w:r w:rsidR="0047576A" w:rsidRPr="004C27B1">
              <w:rPr>
                <w:sz w:val="22"/>
                <w:szCs w:val="22"/>
              </w:rPr>
              <w:t xml:space="preserve">  </w:t>
            </w:r>
            <w:r w:rsidR="0001729E" w:rsidRPr="00E60842">
              <w:rPr>
                <w:b/>
                <w:bCs/>
                <w:sz w:val="22"/>
                <w:szCs w:val="22"/>
              </w:rPr>
              <w:t>Knock Pier (RPS 589</w:t>
            </w:r>
            <w:r w:rsidR="0001729E" w:rsidRPr="004C27B1">
              <w:rPr>
                <w:sz w:val="22"/>
                <w:szCs w:val="22"/>
              </w:rPr>
              <w:t xml:space="preserve">) is located on the northern shore of the Shannon Estuary 4.6km to the north-east of the Site.  </w:t>
            </w:r>
            <w:r w:rsidR="0047576A" w:rsidRPr="004C27B1">
              <w:rPr>
                <w:sz w:val="22"/>
                <w:szCs w:val="22"/>
              </w:rPr>
              <w:t>Setting will not be affected and there will be no impact.</w:t>
            </w:r>
          </w:p>
          <w:p w14:paraId="74DA4768" w14:textId="6E2D59C4" w:rsidR="00E63C0A" w:rsidRPr="004C27B1" w:rsidRDefault="00E63C0A" w:rsidP="00C6208E">
            <w:pPr>
              <w:pStyle w:val="ListParagraph"/>
              <w:numPr>
                <w:ilvl w:val="0"/>
                <w:numId w:val="41"/>
              </w:numPr>
              <w:spacing w:after="0" w:line="240" w:lineRule="auto"/>
              <w:jc w:val="both"/>
              <w:rPr>
                <w:sz w:val="22"/>
                <w:szCs w:val="22"/>
              </w:rPr>
            </w:pPr>
            <w:proofErr w:type="spellStart"/>
            <w:r w:rsidRPr="00E60842">
              <w:rPr>
                <w:b/>
                <w:bCs/>
                <w:sz w:val="22"/>
                <w:szCs w:val="22"/>
              </w:rPr>
              <w:t>Kilkerin</w:t>
            </w:r>
            <w:proofErr w:type="spellEnd"/>
            <w:r w:rsidRPr="00E60842">
              <w:rPr>
                <w:b/>
                <w:bCs/>
                <w:sz w:val="22"/>
                <w:szCs w:val="22"/>
              </w:rPr>
              <w:t xml:space="preserve"> Fort (RPS 345)</w:t>
            </w:r>
            <w:r w:rsidRPr="004C27B1">
              <w:rPr>
                <w:sz w:val="22"/>
                <w:szCs w:val="22"/>
              </w:rPr>
              <w:t xml:space="preserve"> is located at Lackyle North on a peninsula 2km to the north-east of the Site.  </w:t>
            </w:r>
            <w:r w:rsidR="00525E91" w:rsidRPr="004C27B1">
              <w:rPr>
                <w:sz w:val="22"/>
                <w:szCs w:val="22"/>
              </w:rPr>
              <w:t xml:space="preserve">The change to setting will be such that the special interests or qualities of </w:t>
            </w:r>
            <w:proofErr w:type="spellStart"/>
            <w:r w:rsidR="00525E91" w:rsidRPr="004C27B1">
              <w:rPr>
                <w:sz w:val="22"/>
                <w:szCs w:val="22"/>
              </w:rPr>
              <w:t>Kilkerin</w:t>
            </w:r>
            <w:proofErr w:type="spellEnd"/>
            <w:r w:rsidR="00525E91" w:rsidRPr="004C27B1">
              <w:rPr>
                <w:sz w:val="22"/>
                <w:szCs w:val="22"/>
              </w:rPr>
              <w:t xml:space="preserve"> Fort (RPS 345) will be slightly affected without a noticeable change</w:t>
            </w:r>
            <w:r w:rsidR="00564A00">
              <w:rPr>
                <w:sz w:val="22"/>
                <w:szCs w:val="22"/>
              </w:rPr>
              <w:t>.</w:t>
            </w:r>
          </w:p>
        </w:tc>
      </w:tr>
      <w:tr w:rsidR="00395011" w:rsidRPr="00E10034" w14:paraId="3325544B" w14:textId="77777777" w:rsidTr="000F17CE">
        <w:tc>
          <w:tcPr>
            <w:tcW w:w="9016" w:type="dxa"/>
            <w:shd w:val="clear" w:color="auto" w:fill="D9D9D9" w:themeFill="background1" w:themeFillShade="D9"/>
          </w:tcPr>
          <w:p w14:paraId="0DA2A1C9" w14:textId="77777777" w:rsidR="00395011" w:rsidRPr="004C27B1" w:rsidRDefault="00395011" w:rsidP="000F17CE">
            <w:pPr>
              <w:jc w:val="both"/>
              <w:rPr>
                <w:rFonts w:ascii="Arial" w:hAnsi="Arial" w:cs="Arial"/>
              </w:rPr>
            </w:pPr>
            <w:r w:rsidRPr="004C27B1">
              <w:rPr>
                <w:rFonts w:ascii="Arial" w:hAnsi="Arial" w:cs="Arial"/>
                <w:b/>
                <w:bCs/>
              </w:rPr>
              <w:lastRenderedPageBreak/>
              <w:t>Operational Impacts</w:t>
            </w:r>
          </w:p>
        </w:tc>
      </w:tr>
      <w:tr w:rsidR="00395011" w:rsidRPr="00E10034" w14:paraId="0DF10387" w14:textId="77777777" w:rsidTr="000F17CE">
        <w:tc>
          <w:tcPr>
            <w:tcW w:w="9016" w:type="dxa"/>
          </w:tcPr>
          <w:p w14:paraId="04781602" w14:textId="4DB47904" w:rsidR="00584165" w:rsidRPr="004C27B1" w:rsidRDefault="00C94808" w:rsidP="00C6208E">
            <w:pPr>
              <w:pStyle w:val="ListParagraph"/>
              <w:numPr>
                <w:ilvl w:val="0"/>
                <w:numId w:val="41"/>
              </w:numPr>
              <w:spacing w:after="0" w:line="240" w:lineRule="auto"/>
              <w:jc w:val="both"/>
              <w:rPr>
                <w:sz w:val="22"/>
                <w:szCs w:val="22"/>
              </w:rPr>
            </w:pPr>
            <w:r w:rsidRPr="004C27B1">
              <w:rPr>
                <w:sz w:val="22"/>
                <w:szCs w:val="22"/>
              </w:rPr>
              <w:t xml:space="preserve">No likely </w:t>
            </w:r>
            <w:r w:rsidR="00F3414B" w:rsidRPr="004C27B1">
              <w:rPr>
                <w:sz w:val="22"/>
                <w:szCs w:val="22"/>
              </w:rPr>
              <w:t>Significant effects for the operation of the Proposed Development derive</w:t>
            </w:r>
            <w:r w:rsidRPr="004C27B1">
              <w:rPr>
                <w:sz w:val="22"/>
                <w:szCs w:val="22"/>
              </w:rPr>
              <w:t>d</w:t>
            </w:r>
            <w:r w:rsidR="00F3414B" w:rsidRPr="004C27B1">
              <w:rPr>
                <w:sz w:val="22"/>
                <w:szCs w:val="22"/>
              </w:rPr>
              <w:t xml:space="preserve"> from changes to the setting of heritage assets. </w:t>
            </w:r>
          </w:p>
        </w:tc>
      </w:tr>
      <w:tr w:rsidR="00395011" w:rsidRPr="00E10034" w14:paraId="760BE5F0" w14:textId="77777777" w:rsidTr="000F17CE">
        <w:tc>
          <w:tcPr>
            <w:tcW w:w="9016" w:type="dxa"/>
            <w:shd w:val="clear" w:color="auto" w:fill="D9D9D9" w:themeFill="background1" w:themeFillShade="D9"/>
          </w:tcPr>
          <w:p w14:paraId="7220F961" w14:textId="77777777" w:rsidR="00395011" w:rsidRPr="004C27B1" w:rsidRDefault="00395011" w:rsidP="000F17CE">
            <w:pPr>
              <w:jc w:val="both"/>
              <w:rPr>
                <w:rFonts w:ascii="Arial" w:hAnsi="Arial" w:cs="Arial"/>
              </w:rPr>
            </w:pPr>
            <w:r w:rsidRPr="004C27B1">
              <w:rPr>
                <w:rFonts w:ascii="Arial" w:hAnsi="Arial" w:cs="Arial"/>
                <w:b/>
                <w:bCs/>
              </w:rPr>
              <w:t>Decommissioning</w:t>
            </w:r>
          </w:p>
        </w:tc>
      </w:tr>
      <w:tr w:rsidR="00395011" w:rsidRPr="00E10034" w14:paraId="68F1D02E" w14:textId="77777777" w:rsidTr="000F17CE">
        <w:tc>
          <w:tcPr>
            <w:tcW w:w="9016" w:type="dxa"/>
          </w:tcPr>
          <w:p w14:paraId="4FDCE95F" w14:textId="29819307" w:rsidR="00395011" w:rsidRPr="004C27B1" w:rsidRDefault="002F559C" w:rsidP="00C6208E">
            <w:pPr>
              <w:pStyle w:val="ListParagraph"/>
              <w:numPr>
                <w:ilvl w:val="0"/>
                <w:numId w:val="41"/>
              </w:numPr>
              <w:spacing w:after="0" w:line="240" w:lineRule="auto"/>
              <w:jc w:val="both"/>
              <w:rPr>
                <w:sz w:val="22"/>
                <w:szCs w:val="22"/>
              </w:rPr>
            </w:pPr>
            <w:r w:rsidRPr="004C27B1">
              <w:rPr>
                <w:sz w:val="22"/>
                <w:szCs w:val="22"/>
              </w:rPr>
              <w:t xml:space="preserve">Full details of the decommissioning works will be presented in a Decommissioning Plan (including a Decommissioning Environmental Management Plan) </w:t>
            </w:r>
            <w:r w:rsidR="00564A00">
              <w:rPr>
                <w:sz w:val="22"/>
                <w:szCs w:val="22"/>
              </w:rPr>
              <w:t>with impacts</w:t>
            </w:r>
            <w:r w:rsidR="00116C49" w:rsidRPr="004C27B1">
              <w:rPr>
                <w:sz w:val="22"/>
                <w:szCs w:val="22"/>
              </w:rPr>
              <w:t xml:space="preserve"> similar</w:t>
            </w:r>
            <w:r w:rsidR="00564A00">
              <w:rPr>
                <w:sz w:val="22"/>
                <w:szCs w:val="22"/>
              </w:rPr>
              <w:t xml:space="preserve"> in</w:t>
            </w:r>
            <w:r w:rsidR="00116C49" w:rsidRPr="004C27B1">
              <w:rPr>
                <w:sz w:val="22"/>
                <w:szCs w:val="22"/>
              </w:rPr>
              <w:t xml:space="preserve"> nature and duration to those temporary effects arising from the construction process</w:t>
            </w:r>
            <w:r w:rsidR="00DC175A" w:rsidRPr="004C27B1">
              <w:rPr>
                <w:sz w:val="22"/>
                <w:szCs w:val="22"/>
              </w:rPr>
              <w:t>.</w:t>
            </w:r>
          </w:p>
        </w:tc>
      </w:tr>
      <w:tr w:rsidR="00395011" w:rsidRPr="00E10034" w14:paraId="7D8F1624" w14:textId="77777777" w:rsidTr="00710263">
        <w:trPr>
          <w:trHeight w:val="163"/>
        </w:trPr>
        <w:tc>
          <w:tcPr>
            <w:tcW w:w="9016" w:type="dxa"/>
            <w:shd w:val="clear" w:color="auto" w:fill="D9D9D9" w:themeFill="background1" w:themeFillShade="D9"/>
          </w:tcPr>
          <w:p w14:paraId="1FCC596B" w14:textId="77777777" w:rsidR="00395011" w:rsidRPr="004C27B1" w:rsidRDefault="00395011" w:rsidP="000F17CE">
            <w:pPr>
              <w:jc w:val="both"/>
              <w:rPr>
                <w:rFonts w:ascii="Arial" w:hAnsi="Arial" w:cs="Arial"/>
              </w:rPr>
            </w:pPr>
            <w:r w:rsidRPr="004C27B1">
              <w:rPr>
                <w:rFonts w:ascii="Arial" w:hAnsi="Arial" w:cs="Arial"/>
                <w:b/>
                <w:bCs/>
              </w:rPr>
              <w:t>Cumulative Impacts</w:t>
            </w:r>
          </w:p>
        </w:tc>
      </w:tr>
      <w:tr w:rsidR="00395011" w:rsidRPr="00E10034" w14:paraId="0A03BD6F" w14:textId="77777777" w:rsidTr="000F17CE">
        <w:tc>
          <w:tcPr>
            <w:tcW w:w="9016" w:type="dxa"/>
          </w:tcPr>
          <w:p w14:paraId="4061FBC0" w14:textId="6AF24E94" w:rsidR="00395011" w:rsidRPr="004C27B1" w:rsidRDefault="00395011" w:rsidP="00C6208E">
            <w:pPr>
              <w:pStyle w:val="ListParagraph"/>
              <w:numPr>
                <w:ilvl w:val="0"/>
                <w:numId w:val="43"/>
              </w:numPr>
              <w:spacing w:after="0" w:line="240" w:lineRule="auto"/>
              <w:jc w:val="both"/>
              <w:rPr>
                <w:sz w:val="22"/>
                <w:szCs w:val="22"/>
              </w:rPr>
            </w:pPr>
            <w:r w:rsidRPr="004C27B1">
              <w:rPr>
                <w:sz w:val="22"/>
                <w:szCs w:val="22"/>
              </w:rPr>
              <w:lastRenderedPageBreak/>
              <w:t xml:space="preserve">The </w:t>
            </w:r>
            <w:r w:rsidR="00B94ACA" w:rsidRPr="004C27B1">
              <w:rPr>
                <w:sz w:val="22"/>
                <w:szCs w:val="22"/>
              </w:rPr>
              <w:t xml:space="preserve">EIAR </w:t>
            </w:r>
            <w:r w:rsidR="00EC086E" w:rsidRPr="004C27B1">
              <w:rPr>
                <w:sz w:val="22"/>
                <w:szCs w:val="22"/>
              </w:rPr>
              <w:t xml:space="preserve">describes </w:t>
            </w:r>
            <w:r w:rsidR="009D0B8D" w:rsidRPr="004C27B1">
              <w:rPr>
                <w:sz w:val="22"/>
                <w:szCs w:val="22"/>
              </w:rPr>
              <w:t>ten</w:t>
            </w:r>
            <w:r w:rsidR="00EC086E" w:rsidRPr="004C27B1">
              <w:rPr>
                <w:sz w:val="22"/>
                <w:szCs w:val="22"/>
              </w:rPr>
              <w:t xml:space="preserve"> planning application</w:t>
            </w:r>
            <w:r w:rsidR="00564A00">
              <w:rPr>
                <w:sz w:val="22"/>
                <w:szCs w:val="22"/>
              </w:rPr>
              <w:t>s</w:t>
            </w:r>
            <w:r w:rsidR="00144F85" w:rsidRPr="004C27B1">
              <w:rPr>
                <w:sz w:val="22"/>
                <w:szCs w:val="22"/>
              </w:rPr>
              <w:t xml:space="preserve"> relevant in terms or cumulative effects</w:t>
            </w:r>
            <w:r w:rsidR="009D0B8D" w:rsidRPr="004C27B1">
              <w:rPr>
                <w:sz w:val="22"/>
                <w:szCs w:val="22"/>
              </w:rPr>
              <w:t>.</w:t>
            </w:r>
            <w:r w:rsidR="00734431" w:rsidRPr="004C27B1">
              <w:rPr>
                <w:sz w:val="22"/>
                <w:szCs w:val="22"/>
              </w:rPr>
              <w:t xml:space="preserve">  Three of the applications are within the SSE Tarbert</w:t>
            </w:r>
            <w:r w:rsidR="00C63973" w:rsidRPr="004C27B1">
              <w:rPr>
                <w:sz w:val="22"/>
                <w:szCs w:val="22"/>
              </w:rPr>
              <w:t xml:space="preserve">.  </w:t>
            </w:r>
            <w:r w:rsidR="001007F8" w:rsidRPr="004C27B1">
              <w:rPr>
                <w:sz w:val="22"/>
                <w:szCs w:val="22"/>
              </w:rPr>
              <w:t>Cumulative</w:t>
            </w:r>
            <w:r w:rsidR="00C63973" w:rsidRPr="004C27B1">
              <w:rPr>
                <w:sz w:val="22"/>
                <w:szCs w:val="22"/>
              </w:rPr>
              <w:t xml:space="preserve"> impacts could occur if </w:t>
            </w:r>
            <w:r w:rsidR="001007F8" w:rsidRPr="004C27B1">
              <w:rPr>
                <w:sz w:val="22"/>
                <w:szCs w:val="22"/>
              </w:rPr>
              <w:t>construction various of developments coincide</w:t>
            </w:r>
            <w:r w:rsidR="00715CD6" w:rsidRPr="004C27B1">
              <w:rPr>
                <w:sz w:val="22"/>
                <w:szCs w:val="22"/>
              </w:rPr>
              <w:t>.  Overall</w:t>
            </w:r>
            <w:r w:rsidR="00CD08F9" w:rsidRPr="004C27B1">
              <w:rPr>
                <w:sz w:val="22"/>
                <w:szCs w:val="22"/>
              </w:rPr>
              <w:t>,</w:t>
            </w:r>
            <w:r w:rsidR="00715CD6" w:rsidRPr="004C27B1">
              <w:rPr>
                <w:sz w:val="22"/>
                <w:szCs w:val="22"/>
              </w:rPr>
              <w:t xml:space="preserve"> the significance of cumulative effect </w:t>
            </w:r>
            <w:proofErr w:type="gramStart"/>
            <w:r w:rsidR="00715CD6" w:rsidRPr="004C27B1">
              <w:rPr>
                <w:sz w:val="22"/>
                <w:szCs w:val="22"/>
              </w:rPr>
              <w:t>is considered to be</w:t>
            </w:r>
            <w:proofErr w:type="gramEnd"/>
            <w:r w:rsidR="00715CD6" w:rsidRPr="004C27B1">
              <w:rPr>
                <w:sz w:val="22"/>
                <w:szCs w:val="22"/>
              </w:rPr>
              <w:t xml:space="preserve"> low.</w:t>
            </w:r>
          </w:p>
        </w:tc>
      </w:tr>
    </w:tbl>
    <w:p w14:paraId="4C870624" w14:textId="77777777" w:rsidR="00395011" w:rsidRPr="00453342" w:rsidRDefault="00395011" w:rsidP="00395011">
      <w:pPr>
        <w:rPr>
          <w:rFonts w:ascii="Arial" w:hAnsi="Arial" w:cs="Arial"/>
        </w:rPr>
      </w:pPr>
    </w:p>
    <w:p w14:paraId="73038378" w14:textId="77777777" w:rsidR="00395011" w:rsidRDefault="00395011" w:rsidP="00395011">
      <w:pPr>
        <w:pStyle w:val="Heading2"/>
      </w:pPr>
      <w:r>
        <w:t>Mitigation</w:t>
      </w:r>
    </w:p>
    <w:p w14:paraId="70038087" w14:textId="4A1FC2D4" w:rsidR="008C0035" w:rsidRPr="008C0035" w:rsidRDefault="008C0035" w:rsidP="008C0035">
      <w:pPr>
        <w:pStyle w:val="BBody1"/>
        <w:numPr>
          <w:ilvl w:val="0"/>
          <w:numId w:val="0"/>
        </w:numPr>
        <w:jc w:val="both"/>
      </w:pPr>
      <w:r>
        <w:t>Any archaeological remains, including the battery (KE003-002) and burial (KE003-068), which were, or may have been present, will have been destroyed / removed during the historic works associated with the construction of Tarbert HFO Power Station.</w:t>
      </w:r>
      <w:r w:rsidR="00497279">
        <w:t xml:space="preserve"> </w:t>
      </w:r>
      <w:r>
        <w:t xml:space="preserve"> It is, therefore, determined that the Proposed Development will not physically impact upon previously unknown archaeological remains. Given this, no archaeological mitigation is required during the construction phase.</w:t>
      </w:r>
    </w:p>
    <w:p w14:paraId="7E15E9F9" w14:textId="4C13465A" w:rsidR="00E82430" w:rsidRDefault="00632EE1" w:rsidP="00395011">
      <w:pPr>
        <w:pStyle w:val="BBody1"/>
        <w:numPr>
          <w:ilvl w:val="0"/>
          <w:numId w:val="0"/>
        </w:numPr>
        <w:jc w:val="both"/>
      </w:pPr>
      <w:r>
        <w:t>The Proposed Development will not have a significant effect upon the settings of designated heritage assets during construction</w:t>
      </w:r>
      <w:r w:rsidR="006500D6">
        <w:t xml:space="preserve">.  </w:t>
      </w:r>
      <w:r w:rsidR="00306265">
        <w:t>During the construction phase,</w:t>
      </w:r>
      <w:r w:rsidR="00D74448">
        <w:t xml:space="preserve"> embedded mitigation</w:t>
      </w:r>
      <w:r w:rsidR="00306265">
        <w:t xml:space="preserve"> procedures will be adopted, as described in the Construction Environmental Management Plan (CEMP in EIAR Volume II Appendix 5A) and in Chapter 5 (Description of the Proposed Development), to reduce the impact of noise, dust, and vibration during construction. </w:t>
      </w:r>
      <w:r w:rsidR="00AD4B4B">
        <w:t>For the operation</w:t>
      </w:r>
      <w:r w:rsidR="0054141A">
        <w:t>al</w:t>
      </w:r>
      <w:r w:rsidR="00AD4B4B">
        <w:t xml:space="preserve"> phase, </w:t>
      </w:r>
      <w:r w:rsidR="0054141A">
        <w:t>n</w:t>
      </w:r>
      <w:r w:rsidR="00C90FB3">
        <w:t xml:space="preserve">o specific mitigation for </w:t>
      </w:r>
      <w:r w:rsidR="00194757">
        <w:t xml:space="preserve">setting </w:t>
      </w:r>
      <w:r w:rsidR="00C90FB3">
        <w:t>has been proposed</w:t>
      </w:r>
      <w:r w:rsidR="00434F91">
        <w:t xml:space="preserve">.  </w:t>
      </w:r>
      <w:r w:rsidR="00E82430">
        <w:t>The EIAR concludes that the height of the proposed emissions stack for the Proposed Development will be 55m in height, which could create a visual effect to the settings of heritage assets within the surrounding area. The EIAR has identified that, after mitigation, there would be minor effects upon the setting of four further heritage assets, of which two are designated. These designated assets are considered of medium importance. None of these effects are</w:t>
      </w:r>
      <w:r w:rsidR="00F84DFC">
        <w:t xml:space="preserve"> considered</w:t>
      </w:r>
      <w:r w:rsidR="00E82430">
        <w:t xml:space="preserve"> significant.</w:t>
      </w:r>
    </w:p>
    <w:p w14:paraId="3B366B83" w14:textId="77777777" w:rsidR="00395011" w:rsidRDefault="00395011" w:rsidP="00395011">
      <w:pPr>
        <w:pStyle w:val="Heading2"/>
      </w:pPr>
      <w:r>
        <w:t>Residual Effects</w:t>
      </w:r>
    </w:p>
    <w:p w14:paraId="4E6A3E19" w14:textId="4109C458" w:rsidR="002F1DCE" w:rsidRDefault="00067694" w:rsidP="0081004C">
      <w:pPr>
        <w:pStyle w:val="BBody1"/>
        <w:numPr>
          <w:ilvl w:val="0"/>
          <w:numId w:val="0"/>
        </w:numPr>
        <w:jc w:val="both"/>
      </w:pPr>
      <w:r w:rsidRPr="00067694">
        <w:t xml:space="preserve">After mitigation, there would be impacts upon the settings of </w:t>
      </w:r>
      <w:proofErr w:type="gramStart"/>
      <w:r w:rsidRPr="00067694">
        <w:t>a number of</w:t>
      </w:r>
      <w:proofErr w:type="gramEnd"/>
      <w:r w:rsidRPr="00067694">
        <w:t xml:space="preserve"> heritage assets, resulting in minor effects upon the setting of five heritage assets, two of which are considered of low interest and three of which are assets of medium interest. Two of the assets of medium interest are designated -Tarbert Lighthouse (RPS-KY-0891) and </w:t>
      </w:r>
      <w:proofErr w:type="spellStart"/>
      <w:r w:rsidRPr="00067694">
        <w:t>Kilkerin</w:t>
      </w:r>
      <w:proofErr w:type="spellEnd"/>
      <w:r w:rsidRPr="00067694">
        <w:t xml:space="preserve"> Fort (RPS 345) while one is unrecorded but also considered of regional significance – Light Keeper’s House. These three assets are considered of regional </w:t>
      </w:r>
      <w:r w:rsidRPr="00067694">
        <w:lastRenderedPageBreak/>
        <w:t xml:space="preserve">significance. </w:t>
      </w:r>
      <w:r w:rsidR="00741736">
        <w:t>The</w:t>
      </w:r>
      <w:r w:rsidR="007663C6">
        <w:t xml:space="preserve"> Light Keeper’s House which dates to the 19th century and is associated with Tarbert Lighthouse (RPS-KY-0891)</w:t>
      </w:r>
      <w:r w:rsidR="008641A9">
        <w:t>,</w:t>
      </w:r>
      <w:r w:rsidR="007663C6">
        <w:t xml:space="preserve"> </w:t>
      </w:r>
      <w:r w:rsidR="008641A9">
        <w:t>w</w:t>
      </w:r>
      <w:r w:rsidR="007663C6">
        <w:t xml:space="preserve">hile not officially recorded as a heritage asset, will not be physically impacted, although its setting will be impacted by the presence of the Proposed Development. </w:t>
      </w:r>
    </w:p>
    <w:p w14:paraId="6736FE41" w14:textId="77777777" w:rsidR="00194757" w:rsidRDefault="002F1DCE" w:rsidP="00194757">
      <w:pPr>
        <w:pStyle w:val="BBody1"/>
        <w:numPr>
          <w:ilvl w:val="0"/>
          <w:numId w:val="0"/>
        </w:numPr>
        <w:jc w:val="both"/>
      </w:pPr>
      <w:r>
        <w:t>The remaining two assets are non-designated and considered of low interest. They comprise one archaeological asset, bastioned battery (KE003-001), and one Historic Garden, Tarbert Demesne (NIAH 2051), recorded on the NIAH. No specific mitigation for setting has been proposed in this chapter, as it is noted that appropriate mitigation for the construction phase is addressed in Chapter 10 (Landscape and Visual) and Chapter 14 (Traffic). The residual effect would remain Long-Term, Imperceptible and Neutral</w:t>
      </w:r>
      <w:r w:rsidR="00194757">
        <w:t>.</w:t>
      </w:r>
    </w:p>
    <w:p w14:paraId="47C840ED" w14:textId="1BFA2A57" w:rsidR="00395011" w:rsidRPr="00930FA4" w:rsidRDefault="00395011" w:rsidP="00194757">
      <w:pPr>
        <w:pStyle w:val="Heading2"/>
      </w:pPr>
      <w:r w:rsidRPr="00930FA4">
        <w:t>The Assessment:  Direct and Indirect Effects</w:t>
      </w:r>
    </w:p>
    <w:p w14:paraId="686FA055" w14:textId="30B4401C" w:rsidR="00395011" w:rsidRPr="00930FA4" w:rsidRDefault="00395011" w:rsidP="00395011">
      <w:pPr>
        <w:pStyle w:val="BBody1"/>
        <w:numPr>
          <w:ilvl w:val="0"/>
          <w:numId w:val="0"/>
        </w:numPr>
        <w:jc w:val="both"/>
      </w:pPr>
      <w:r w:rsidRPr="00930FA4">
        <w:t xml:space="preserve">I have examined, </w:t>
      </w:r>
      <w:proofErr w:type="gramStart"/>
      <w:r w:rsidRPr="00930FA4">
        <w:t>analysed</w:t>
      </w:r>
      <w:proofErr w:type="gramEnd"/>
      <w:r w:rsidRPr="00930FA4">
        <w:t xml:space="preserve"> and evaluated Chapter </w:t>
      </w:r>
      <w:r w:rsidR="004A3EE5" w:rsidRPr="00930FA4">
        <w:t>8</w:t>
      </w:r>
      <w:r w:rsidRPr="00930FA4">
        <w:t xml:space="preserve"> of the EIAR, and all of the associated documentation. </w:t>
      </w:r>
      <w:r w:rsidR="00D60674">
        <w:t xml:space="preserve"> </w:t>
      </w:r>
      <w:r w:rsidR="001409B6" w:rsidRPr="00930FA4">
        <w:t xml:space="preserve">The EIAR has raised no significant concerns in relation to </w:t>
      </w:r>
      <w:r w:rsidR="002525FD" w:rsidRPr="00930FA4">
        <w:t>Cultural Heritage and Archaeology.</w:t>
      </w:r>
    </w:p>
    <w:p w14:paraId="6A870EAE" w14:textId="0E0C4D23" w:rsidR="002525FD" w:rsidRDefault="004557BB" w:rsidP="00395011">
      <w:pPr>
        <w:pStyle w:val="BBody1"/>
        <w:numPr>
          <w:ilvl w:val="0"/>
          <w:numId w:val="0"/>
        </w:numPr>
        <w:jc w:val="both"/>
      </w:pPr>
      <w:r>
        <w:t>The County Archaeologist’s report provides a historical background of recorded monuments that previously existed on the site</w:t>
      </w:r>
      <w:r w:rsidR="003565C5">
        <w:t xml:space="preserve"> and has confirmed that the batter</w:t>
      </w:r>
      <w:r w:rsidR="00D60674">
        <w:t>y</w:t>
      </w:r>
      <w:r w:rsidR="003565C5">
        <w:t xml:space="preserve"> no longer </w:t>
      </w:r>
      <w:proofErr w:type="gramStart"/>
      <w:r w:rsidR="003565C5">
        <w:t>survives</w:t>
      </w:r>
      <w:proofErr w:type="gramEnd"/>
      <w:r w:rsidR="00E959C3">
        <w:t xml:space="preserve"> and that archaeological monitoring of development works in 2010 showed that there were no sub-surface remains of the battery</w:t>
      </w:r>
      <w:r w:rsidR="001F2FE7">
        <w:t xml:space="preserve"> and that the </w:t>
      </w:r>
      <w:r w:rsidR="0087784E">
        <w:t>s</w:t>
      </w:r>
      <w:r w:rsidR="001F2FE7">
        <w:t xml:space="preserve">ite of the power station had been </w:t>
      </w:r>
      <w:r w:rsidR="0087784E">
        <w:t>dug</w:t>
      </w:r>
      <w:r w:rsidR="001F2FE7">
        <w:t xml:space="preserve"> out to a considerable depth.</w:t>
      </w:r>
      <w:r>
        <w:t xml:space="preserve">  No further archaeological mitigation was requested by KCC.  </w:t>
      </w:r>
      <w:r w:rsidR="002525FD" w:rsidRPr="00930FA4">
        <w:t>Given the site history in relation to the Tarbert HFO Power St</w:t>
      </w:r>
      <w:r w:rsidR="00FE5EC2" w:rsidRPr="00930FA4">
        <w:t>ation and the works that have occurred over the years, it is unlikely that the site contains any features of archaeolog</w:t>
      </w:r>
      <w:r w:rsidR="00376DE2">
        <w:t>ical</w:t>
      </w:r>
      <w:r w:rsidR="00FE5EC2" w:rsidRPr="00930FA4">
        <w:t xml:space="preserve"> or cultural heritage</w:t>
      </w:r>
      <w:r w:rsidR="00FE6448" w:rsidRPr="00930FA4">
        <w:t xml:space="preserve">, due to previous site disturbance.  </w:t>
      </w:r>
      <w:r w:rsidR="00930FA4" w:rsidRPr="00930FA4">
        <w:t>I am satisfied that there is no potential for impacts on archaeology during the construction phase in relation to the proposed demolition and site works.</w:t>
      </w:r>
    </w:p>
    <w:p w14:paraId="4B4E4F90" w14:textId="7613C909" w:rsidR="00517D82" w:rsidRDefault="000B7C37" w:rsidP="00395011">
      <w:pPr>
        <w:pStyle w:val="BBody1"/>
        <w:numPr>
          <w:ilvl w:val="0"/>
          <w:numId w:val="0"/>
        </w:numPr>
        <w:jc w:val="both"/>
      </w:pPr>
      <w:r>
        <w:t>The</w:t>
      </w:r>
      <w:r w:rsidR="001660F6">
        <w:t xml:space="preserve"> proposed development</w:t>
      </w:r>
      <w:r w:rsidR="00E40A1E">
        <w:t xml:space="preserve"> will impact on the setting </w:t>
      </w:r>
      <w:r w:rsidR="00EE77F8">
        <w:t xml:space="preserve">of four heritage sites, two of which are designated.  I </w:t>
      </w:r>
      <w:r w:rsidR="00537CA0">
        <w:t xml:space="preserve">am satisfied </w:t>
      </w:r>
      <w:r w:rsidR="00EE77F8">
        <w:t>that none of these effects are significant</w:t>
      </w:r>
      <w:r w:rsidR="001660F6">
        <w:t xml:space="preserve"> </w:t>
      </w:r>
      <w:proofErr w:type="gramStart"/>
      <w:r w:rsidR="00DE4710">
        <w:t>based on the fact that</w:t>
      </w:r>
      <w:proofErr w:type="gramEnd"/>
      <w:r w:rsidR="00DE4710">
        <w:t xml:space="preserve"> the </w:t>
      </w:r>
      <w:r w:rsidR="0054355D">
        <w:t>height of the</w:t>
      </w:r>
      <w:r w:rsidR="00CC4BB6">
        <w:t xml:space="preserve"> proposed</w:t>
      </w:r>
      <w:r w:rsidR="0054355D">
        <w:t xml:space="preserve"> stack is 55m</w:t>
      </w:r>
      <w:r w:rsidR="00920631">
        <w:t xml:space="preserve">, </w:t>
      </w:r>
      <w:r w:rsidR="00615772">
        <w:t xml:space="preserve">which </w:t>
      </w:r>
      <w:r w:rsidR="00920631">
        <w:t xml:space="preserve">is much shorter than the existing </w:t>
      </w:r>
      <w:r w:rsidR="00BA121F">
        <w:t xml:space="preserve">151m stack of </w:t>
      </w:r>
      <w:r w:rsidR="00517D82">
        <w:t>the Tarbert HFO Power Station</w:t>
      </w:r>
      <w:r w:rsidR="00BA121F">
        <w:t xml:space="preserve">.  </w:t>
      </w:r>
      <w:r w:rsidR="00C87F74">
        <w:t>Although visible, I consider t</w:t>
      </w:r>
      <w:r w:rsidR="00537CA0">
        <w:t>he</w:t>
      </w:r>
      <w:r w:rsidR="00BA121F">
        <w:t xml:space="preserve"> development </w:t>
      </w:r>
      <w:r w:rsidR="00C87F74">
        <w:t xml:space="preserve">of the OCGT </w:t>
      </w:r>
      <w:r w:rsidR="00BA121F">
        <w:t>will blend into the existing industrial landscape on Tarbert Island.</w:t>
      </w:r>
    </w:p>
    <w:p w14:paraId="561ABB71" w14:textId="2C0F8430" w:rsidR="00395011" w:rsidRPr="008A4717" w:rsidRDefault="00395011" w:rsidP="00395011">
      <w:pPr>
        <w:pStyle w:val="Heading2"/>
      </w:pPr>
      <w:r w:rsidRPr="008A4717">
        <w:lastRenderedPageBreak/>
        <w:t>Conclusion:  Direct and Indirect Effects (</w:t>
      </w:r>
      <w:r w:rsidR="007C04B2" w:rsidRPr="008A4717">
        <w:t>Cultural Heritage</w:t>
      </w:r>
      <w:r w:rsidRPr="008A4717">
        <w:t>)</w:t>
      </w:r>
    </w:p>
    <w:p w14:paraId="1A8F5AB7" w14:textId="4E30A077" w:rsidR="003A33FC" w:rsidRDefault="007C04B2" w:rsidP="006F5EDB">
      <w:pPr>
        <w:pStyle w:val="BBody1"/>
        <w:numPr>
          <w:ilvl w:val="0"/>
          <w:numId w:val="0"/>
        </w:numPr>
      </w:pPr>
      <w:r w:rsidRPr="00382B20">
        <w:t xml:space="preserve">Based on the results of the EIAR in relation to Cultural Heritage, I am satisfied that no significant </w:t>
      </w:r>
      <w:r w:rsidR="003A3BDD">
        <w:t>adverse effects are likely to aris</w:t>
      </w:r>
      <w:r w:rsidR="00E9683D">
        <w:t xml:space="preserve">e in relation to Cultural Heritage and Archaeology.  </w:t>
      </w:r>
    </w:p>
    <w:p w14:paraId="41CB6E90" w14:textId="4A80AB8D" w:rsidR="00E9683D" w:rsidRPr="00E9683D" w:rsidRDefault="00C37426" w:rsidP="00E9683D">
      <w:pPr>
        <w:pStyle w:val="EHead1"/>
      </w:pPr>
      <w:bookmarkStart w:id="48" w:name="_Toc171346788"/>
      <w:r>
        <w:t>Biodiversity</w:t>
      </w:r>
      <w:bookmarkEnd w:id="48"/>
    </w:p>
    <w:p w14:paraId="345D5A1D" w14:textId="77777777" w:rsidR="00E9683D" w:rsidRPr="005C552D" w:rsidRDefault="00E9683D" w:rsidP="00E9683D">
      <w:pPr>
        <w:pStyle w:val="Heading2"/>
      </w:pPr>
      <w:r>
        <w:t>Issues Raised</w:t>
      </w:r>
    </w:p>
    <w:p w14:paraId="597BAD77" w14:textId="29B57EC5" w:rsidR="008A5B31" w:rsidRDefault="002249A9" w:rsidP="00E9683D">
      <w:pPr>
        <w:pStyle w:val="BBody1"/>
        <w:numPr>
          <w:ilvl w:val="0"/>
          <w:numId w:val="0"/>
        </w:numPr>
        <w:jc w:val="both"/>
      </w:pPr>
      <w:r>
        <w:t xml:space="preserve">KCC ecologist noted that </w:t>
      </w:r>
      <w:r w:rsidR="000A3CAA">
        <w:t xml:space="preserve">a proposal of this nature has the potential </w:t>
      </w:r>
      <w:r w:rsidR="00463F56">
        <w:t xml:space="preserve">at both construction and operational phase </w:t>
      </w:r>
      <w:r w:rsidR="000A3CAA">
        <w:t xml:space="preserve">to effect water quality, by way of potential spillages, </w:t>
      </w:r>
      <w:proofErr w:type="gramStart"/>
      <w:r w:rsidR="000A3CAA">
        <w:t>accidents</w:t>
      </w:r>
      <w:proofErr w:type="gramEnd"/>
      <w:r w:rsidR="000A3CAA">
        <w:t xml:space="preserve"> and disasters</w:t>
      </w:r>
      <w:r w:rsidR="00E116BB">
        <w:t xml:space="preserve">.  </w:t>
      </w:r>
      <w:r w:rsidR="00463F56">
        <w:t>The new IE L</w:t>
      </w:r>
      <w:r w:rsidR="00A85A7F">
        <w:t xml:space="preserve">icence will be of importance to regulate this.  Of importance is the appointment of an Ecological Clerk of Works to oversee the </w:t>
      </w:r>
      <w:r w:rsidR="007E69A4">
        <w:t>Construction</w:t>
      </w:r>
      <w:r w:rsidR="005E4F9A">
        <w:t xml:space="preserve"> and mitigation contained within the CEMP</w:t>
      </w:r>
      <w:r w:rsidR="007E69A4">
        <w:t>.</w:t>
      </w:r>
      <w:r w:rsidR="00B54EE8">
        <w:t xml:space="preserve">  In relation to Appropriate Assessment the KCC ecologist has noted the NIS submitted</w:t>
      </w:r>
      <w:r w:rsidR="0031782D">
        <w:t xml:space="preserve"> and the mitigation measures contained therein in S</w:t>
      </w:r>
      <w:r w:rsidR="002975CF">
        <w:t>e</w:t>
      </w:r>
      <w:r w:rsidR="0031782D">
        <w:t>ction 5.3</w:t>
      </w:r>
      <w:r w:rsidR="002975CF">
        <w:t xml:space="preserve">.  </w:t>
      </w:r>
      <w:r w:rsidR="00E44AE9">
        <w:t>It is noted that potential exists for disturbance on the Otter</w:t>
      </w:r>
      <w:r w:rsidR="00D758F1">
        <w:t>, a Qualifying Interest of the Lower River Shannon SAC.</w:t>
      </w:r>
      <w:r w:rsidR="004C3B2A">
        <w:t xml:space="preserve">  A</w:t>
      </w:r>
      <w:r w:rsidR="00A00D0E">
        <w:t>n otter</w:t>
      </w:r>
      <w:r w:rsidR="004C3B2A">
        <w:t xml:space="preserve"> survey will be provided prior to constr</w:t>
      </w:r>
      <w:r w:rsidR="00A00D0E">
        <w:t xml:space="preserve">uction.  </w:t>
      </w:r>
      <w:r w:rsidR="00C30C5E">
        <w:t xml:space="preserve">The Council is satisfied that subject to implementation of appropriate water quality protection and flood risk management protection measures, there will be no adverse effect on any European Site during </w:t>
      </w:r>
      <w:r w:rsidR="0019797B">
        <w:t xml:space="preserve">any phase of the </w:t>
      </w:r>
      <w:r w:rsidR="00C30C5E">
        <w:t>Proposed Development</w:t>
      </w:r>
      <w:r w:rsidR="007756F0">
        <w:t>.</w:t>
      </w:r>
      <w:r w:rsidR="00D758F1">
        <w:t xml:space="preserve"> </w:t>
      </w:r>
      <w:r w:rsidR="008A5B31">
        <w:t xml:space="preserve">In this regard, </w:t>
      </w:r>
      <w:r w:rsidR="008A5B31" w:rsidRPr="008A5B31">
        <w:t xml:space="preserve">Tarbert Development Association has noted that the site is </w:t>
      </w:r>
      <w:proofErr w:type="gramStart"/>
      <w:r w:rsidR="008A5B31" w:rsidRPr="008A5B31">
        <w:t>in close proximity to</w:t>
      </w:r>
      <w:proofErr w:type="gramEnd"/>
      <w:r w:rsidR="008A5B31" w:rsidRPr="008A5B31">
        <w:t xml:space="preserve"> European Sites, hence important that all Mitigation Measures as set out in Section 9.6 </w:t>
      </w:r>
      <w:r w:rsidR="008A5B31">
        <w:t xml:space="preserve">of the EIAR </w:t>
      </w:r>
      <w:r w:rsidR="008A5B31" w:rsidRPr="008A5B31">
        <w:t>be implemented in full.</w:t>
      </w:r>
    </w:p>
    <w:p w14:paraId="29568D26" w14:textId="77777777" w:rsidR="00E9683D" w:rsidRPr="00302D10" w:rsidRDefault="00E9683D" w:rsidP="00E9683D">
      <w:pPr>
        <w:pStyle w:val="Heading3"/>
      </w:pPr>
      <w:r w:rsidRPr="00302D10">
        <w:t>Context</w:t>
      </w:r>
    </w:p>
    <w:p w14:paraId="138E2D28" w14:textId="0B4BA70E" w:rsidR="006C1BCF" w:rsidRDefault="002D4894" w:rsidP="00E9683D">
      <w:pPr>
        <w:pStyle w:val="BBody1"/>
        <w:numPr>
          <w:ilvl w:val="0"/>
          <w:numId w:val="0"/>
        </w:numPr>
        <w:jc w:val="both"/>
      </w:pPr>
      <w:r>
        <w:t>Biodiversity</w:t>
      </w:r>
      <w:r w:rsidR="00E9683D">
        <w:t xml:space="preserve"> is addressed in Chapter </w:t>
      </w:r>
      <w:r>
        <w:t>9</w:t>
      </w:r>
      <w:r w:rsidR="00E9683D">
        <w:t xml:space="preserve"> of the EIAR, Volume I, Appendix </w:t>
      </w:r>
      <w:r w:rsidR="003A142D">
        <w:t>9</w:t>
      </w:r>
      <w:r w:rsidR="00E9683D">
        <w:t>A</w:t>
      </w:r>
      <w:r w:rsidR="003A142D">
        <w:t xml:space="preserve"> </w:t>
      </w:r>
      <w:r w:rsidR="00AD7B12">
        <w:t>–</w:t>
      </w:r>
      <w:r w:rsidR="003A142D">
        <w:t xml:space="preserve"> 9</w:t>
      </w:r>
      <w:r w:rsidR="00AD7B12">
        <w:t xml:space="preserve"> E</w:t>
      </w:r>
      <w:r w:rsidR="00E9683D">
        <w:t xml:space="preserve">, Volume </w:t>
      </w:r>
      <w:proofErr w:type="gramStart"/>
      <w:r w:rsidR="00E9683D">
        <w:t>2</w:t>
      </w:r>
      <w:proofErr w:type="gramEnd"/>
      <w:r w:rsidR="00E9683D">
        <w:t xml:space="preserve"> and Figure </w:t>
      </w:r>
      <w:r w:rsidR="00AD7B12">
        <w:t xml:space="preserve">9.1 and 9.2 </w:t>
      </w:r>
      <w:r w:rsidR="00E9683D">
        <w:t xml:space="preserve">in Volume III.  Chapter </w:t>
      </w:r>
      <w:r w:rsidR="00AD7B12">
        <w:t>9</w:t>
      </w:r>
      <w:r w:rsidR="00E9683D">
        <w:t xml:space="preserve"> sets out the </w:t>
      </w:r>
      <w:r w:rsidR="00383388">
        <w:t xml:space="preserve">Regulatory and Policy Framework, </w:t>
      </w:r>
      <w:r w:rsidR="00E9683D">
        <w:t>Methodology, Baseline Environmental Conditions, Potential</w:t>
      </w:r>
      <w:r w:rsidR="000E1915">
        <w:t xml:space="preserve"> Impacts, Mitigation Measures, Residual and </w:t>
      </w:r>
      <w:r w:rsidR="00E9683D">
        <w:t xml:space="preserve">Cumulative Impacts.  </w:t>
      </w:r>
    </w:p>
    <w:p w14:paraId="7140DC9B" w14:textId="77D4DD38" w:rsidR="00810821" w:rsidRDefault="00810821" w:rsidP="00E9683D">
      <w:pPr>
        <w:pStyle w:val="BBody1"/>
        <w:numPr>
          <w:ilvl w:val="0"/>
          <w:numId w:val="0"/>
        </w:numPr>
        <w:jc w:val="both"/>
        <w:rPr>
          <w:i/>
          <w:iCs/>
        </w:rPr>
      </w:pPr>
      <w:r w:rsidRPr="00ED771A">
        <w:t>The EIAR described the Methodology utilised to determine the Zone of Influence (ZOI)</w:t>
      </w:r>
      <w:r>
        <w:t xml:space="preserve">.  </w:t>
      </w:r>
      <w:r w:rsidR="001F3A9C">
        <w:t xml:space="preserve">The assessment of impacts from the Proposed Development on ecological features has been informed and influenced by consultation held with NPWS, a statutory </w:t>
      </w:r>
      <w:r w:rsidR="001F3A9C">
        <w:lastRenderedPageBreak/>
        <w:t>stakeholder.</w:t>
      </w:r>
      <w:r w:rsidR="007C7B51">
        <w:t xml:space="preserve">  </w:t>
      </w:r>
      <w:r w:rsidR="0068431A">
        <w:t xml:space="preserve">An initial Desk Survey was carried out, then </w:t>
      </w:r>
      <w:r w:rsidR="007C7B51">
        <w:t xml:space="preserve">Field </w:t>
      </w:r>
      <w:r w:rsidR="0068431A">
        <w:t>S</w:t>
      </w:r>
      <w:r w:rsidR="007C7B51">
        <w:t>urveys</w:t>
      </w:r>
      <w:r w:rsidR="004B5769">
        <w:t xml:space="preserve"> including Habitat and Flora Survey</w:t>
      </w:r>
      <w:r w:rsidR="00501E32">
        <w:t>, Protected and Notable Species Surveys, Otter Survey and Badger Survey</w:t>
      </w:r>
      <w:r w:rsidR="00A75383">
        <w:t>.</w:t>
      </w:r>
      <w:r w:rsidR="000573AF">
        <w:t xml:space="preserve">  </w:t>
      </w:r>
      <w:r w:rsidR="0052085A">
        <w:t xml:space="preserve">The method employed for assessment of impacts on ecological features followed that recommended by the Chartered Institute of Ecology and Environmental Management (CIEEM) in the </w:t>
      </w:r>
      <w:r w:rsidR="0052085A" w:rsidRPr="0052085A">
        <w:rPr>
          <w:i/>
          <w:iCs/>
        </w:rPr>
        <w:t>Guidelines for Ecological Impact Assessment in the UK and Ireland.</w:t>
      </w:r>
    </w:p>
    <w:p w14:paraId="74574379" w14:textId="2D04D5E1" w:rsidR="00255117" w:rsidRPr="00255117" w:rsidRDefault="00255117" w:rsidP="00E9683D">
      <w:pPr>
        <w:pStyle w:val="BBody1"/>
        <w:numPr>
          <w:ilvl w:val="0"/>
          <w:numId w:val="0"/>
        </w:numPr>
        <w:jc w:val="both"/>
      </w:pPr>
      <w:r>
        <w:t xml:space="preserve">The EIAR concludes </w:t>
      </w:r>
      <w:r w:rsidR="00F626D0">
        <w:t>that with the implementation of mitigation outlined in Section 9.6</w:t>
      </w:r>
      <w:r w:rsidR="00FA5242">
        <w:t xml:space="preserve"> in the EIAR</w:t>
      </w:r>
      <w:r w:rsidR="00F626D0">
        <w:t xml:space="preserve">, </w:t>
      </w:r>
      <w:proofErr w:type="gramStart"/>
      <w:r w:rsidR="00F626D0">
        <w:t>all of</w:t>
      </w:r>
      <w:proofErr w:type="gramEnd"/>
      <w:r w:rsidR="00F626D0">
        <w:t xml:space="preserve"> the effects are mitigated and will be </w:t>
      </w:r>
      <w:r w:rsidR="002A7939">
        <w:t>‘</w:t>
      </w:r>
      <w:r w:rsidR="00F626D0">
        <w:t>Not Significant</w:t>
      </w:r>
      <w:r w:rsidR="002A7939">
        <w:t>’</w:t>
      </w:r>
      <w:r w:rsidR="00F626D0">
        <w:t xml:space="preserve">, either through construction pollution controls or implementation of measures to avoid significant harm to protected species populations. Thus, there will be No Significant effect to biodiversity and nature conservation </w:t>
      </w:r>
      <w:proofErr w:type="gramStart"/>
      <w:r w:rsidR="00F626D0">
        <w:t>as a result of</w:t>
      </w:r>
      <w:proofErr w:type="gramEnd"/>
      <w:r w:rsidR="00F626D0">
        <w:t xml:space="preserve"> the Proposed Development.</w:t>
      </w:r>
    </w:p>
    <w:p w14:paraId="6CF29EAF" w14:textId="77777777" w:rsidR="00E9683D" w:rsidRDefault="00E9683D" w:rsidP="00E9683D">
      <w:pPr>
        <w:pStyle w:val="Heading3"/>
      </w:pPr>
      <w:r>
        <w:t>Baseline</w:t>
      </w:r>
    </w:p>
    <w:p w14:paraId="6D6DBDCC" w14:textId="60F90EB9" w:rsidR="00ED6EBF" w:rsidRDefault="00A254CE" w:rsidP="00E730D0">
      <w:pPr>
        <w:pStyle w:val="BBody1"/>
        <w:numPr>
          <w:ilvl w:val="0"/>
          <w:numId w:val="0"/>
        </w:numPr>
        <w:jc w:val="both"/>
      </w:pPr>
      <w:r>
        <w:t>There are five international nature conservation designations within the ZoI of the Proposed Development (Table 9.6 of the EIAR)</w:t>
      </w:r>
      <w:r w:rsidR="00A45E8A">
        <w:t>, including Lower River Shannon SAC (002165)</w:t>
      </w:r>
      <w:r w:rsidR="008026FF">
        <w:t xml:space="preserve">, River Shannon and River Fergus Estuaries SPA (004077) </w:t>
      </w:r>
      <w:r w:rsidR="00310B6E">
        <w:t xml:space="preserve">both located </w:t>
      </w:r>
      <w:r w:rsidR="008026FF">
        <w:t>immediately adjacent to the site</w:t>
      </w:r>
      <w:r w:rsidR="00310B6E">
        <w:t>, Blasket Islands SAC (002172)</w:t>
      </w:r>
      <w:r w:rsidR="00F21E3A">
        <w:t>, 89km south west/95km hydrological connection</w:t>
      </w:r>
      <w:r w:rsidR="00270DDA">
        <w:t xml:space="preserve">, Kilkieran Bay and Islands SAC (002111) 70km north/117 hydrological connection, Slyne Head Islands SAC </w:t>
      </w:r>
      <w:r w:rsidR="00E730D0">
        <w:t>(000328), 106km north west/134km hydrological connection.</w:t>
      </w:r>
      <w:r w:rsidR="00650FEC">
        <w:t xml:space="preserve">  </w:t>
      </w:r>
      <w:r w:rsidR="00134883">
        <w:t xml:space="preserve">Tarbert Bay pNHA </w:t>
      </w:r>
      <w:r w:rsidR="00023B7B">
        <w:t xml:space="preserve">located 125m to the south of the site </w:t>
      </w:r>
      <w:r w:rsidR="00134883">
        <w:t>is</w:t>
      </w:r>
      <w:r w:rsidR="00023B7B">
        <w:t xml:space="preserve"> the</w:t>
      </w:r>
      <w:r w:rsidR="00134883">
        <w:t xml:space="preserve"> only non-statutory designation for nature conservation within 2km of the Site</w:t>
      </w:r>
      <w:r w:rsidR="00023B7B">
        <w:t>.</w:t>
      </w:r>
    </w:p>
    <w:p w14:paraId="271770D4" w14:textId="2AF8B8EA" w:rsidR="00D30F85" w:rsidRDefault="00ED6EBF" w:rsidP="00E730D0">
      <w:pPr>
        <w:pStyle w:val="BBody1"/>
        <w:numPr>
          <w:ilvl w:val="0"/>
          <w:numId w:val="0"/>
        </w:numPr>
        <w:jc w:val="both"/>
      </w:pPr>
      <w:r>
        <w:t xml:space="preserve">A review of the </w:t>
      </w:r>
      <w:r w:rsidR="00034947">
        <w:t>National Biodiversity Data Centre (</w:t>
      </w:r>
      <w:r>
        <w:t>NBDC</w:t>
      </w:r>
      <w:r w:rsidR="00034947">
        <w:t>)</w:t>
      </w:r>
      <w:r>
        <w:t xml:space="preserve"> database did not return any records of bat species within 2 km of the Site. All buildings to be removed were assessed as having Negligible suitability for roosting bats, and therefore it is considered that roosting bats will not be impacted by the Proposed Development. </w:t>
      </w:r>
    </w:p>
    <w:p w14:paraId="753CEC33" w14:textId="0984E458" w:rsidR="00E730D0" w:rsidRDefault="00D30F85" w:rsidP="00E730D0">
      <w:pPr>
        <w:pStyle w:val="BBody1"/>
        <w:numPr>
          <w:ilvl w:val="0"/>
          <w:numId w:val="0"/>
        </w:numPr>
        <w:jc w:val="both"/>
      </w:pPr>
      <w:r>
        <w:t xml:space="preserve">The NBDC returned one record of otter within 2km of the Site. </w:t>
      </w:r>
    </w:p>
    <w:p w14:paraId="5F6C2CC2" w14:textId="6B3F05F0" w:rsidR="005767E4" w:rsidRDefault="005767E4" w:rsidP="00E730D0">
      <w:pPr>
        <w:pStyle w:val="BBody1"/>
        <w:numPr>
          <w:ilvl w:val="0"/>
          <w:numId w:val="0"/>
        </w:numPr>
        <w:jc w:val="both"/>
      </w:pPr>
      <w:r>
        <w:t xml:space="preserve">Records of 134 bird species were returned by the NBDC database search within 2km of the Site, of which 37 species are protected under Annex I, II or III of the Birds Directive. Six species are on the </w:t>
      </w:r>
      <w:proofErr w:type="gramStart"/>
      <w:r>
        <w:t>Red</w:t>
      </w:r>
      <w:proofErr w:type="gramEnd"/>
      <w:r>
        <w:t xml:space="preserve"> list of birds of conservation concern in Ireland, and 35 species appear on the Amber list, see Appendix 9D EIAR Volume II.</w:t>
      </w:r>
    </w:p>
    <w:p w14:paraId="5F6D52C4" w14:textId="77777777" w:rsidR="00E9683D" w:rsidRDefault="00E9683D" w:rsidP="00E9683D">
      <w:pPr>
        <w:pStyle w:val="Heading2"/>
      </w:pPr>
      <w:r>
        <w:lastRenderedPageBreak/>
        <w:t>Potential Effects</w:t>
      </w:r>
    </w:p>
    <w:p w14:paraId="0BF373F9" w14:textId="3F9D1A7F" w:rsidR="00E34288" w:rsidRPr="00EB28E7" w:rsidRDefault="00E9683D" w:rsidP="00E9683D">
      <w:pPr>
        <w:jc w:val="both"/>
        <w:rPr>
          <w:rFonts w:ascii="Arial" w:hAnsi="Arial" w:cs="Arial"/>
          <w:sz w:val="24"/>
          <w:szCs w:val="24"/>
        </w:rPr>
      </w:pPr>
      <w:r w:rsidRPr="00E10034">
        <w:rPr>
          <w:rFonts w:ascii="Arial" w:hAnsi="Arial" w:cs="Arial"/>
          <w:sz w:val="24"/>
          <w:szCs w:val="24"/>
        </w:rPr>
        <w:t xml:space="preserve">Likely significant effects of the development, as identified in the EIAR are summarised in Table </w:t>
      </w:r>
      <w:r w:rsidR="00C60741">
        <w:rPr>
          <w:rFonts w:ascii="Arial" w:hAnsi="Arial" w:cs="Arial"/>
          <w:sz w:val="24"/>
          <w:szCs w:val="24"/>
        </w:rPr>
        <w:t>10</w:t>
      </w:r>
      <w:r w:rsidRPr="00E10034">
        <w:rPr>
          <w:rFonts w:ascii="Arial" w:hAnsi="Arial" w:cs="Arial"/>
          <w:sz w:val="24"/>
          <w:szCs w:val="24"/>
        </w:rPr>
        <w:t>.1 below.</w:t>
      </w:r>
      <w:r w:rsidR="00BC4C59">
        <w:rPr>
          <w:rFonts w:ascii="Arial" w:hAnsi="Arial" w:cs="Arial"/>
          <w:sz w:val="24"/>
          <w:szCs w:val="24"/>
        </w:rPr>
        <w:t xml:space="preserve">  </w:t>
      </w:r>
    </w:p>
    <w:tbl>
      <w:tblPr>
        <w:tblStyle w:val="TableGrid"/>
        <w:tblW w:w="0" w:type="auto"/>
        <w:tblLook w:val="04A0" w:firstRow="1" w:lastRow="0" w:firstColumn="1" w:lastColumn="0" w:noHBand="0" w:noVBand="1"/>
      </w:tblPr>
      <w:tblGrid>
        <w:gridCol w:w="9016"/>
      </w:tblGrid>
      <w:tr w:rsidR="00E9683D" w:rsidRPr="00E10034" w14:paraId="4DBCA591" w14:textId="77777777" w:rsidTr="0015339A">
        <w:tc>
          <w:tcPr>
            <w:tcW w:w="9016" w:type="dxa"/>
            <w:shd w:val="clear" w:color="auto" w:fill="BFBFBF" w:themeFill="background1" w:themeFillShade="BF"/>
          </w:tcPr>
          <w:p w14:paraId="10B01259" w14:textId="0D028686" w:rsidR="00E9683D" w:rsidRPr="004C27B1" w:rsidRDefault="00E9683D" w:rsidP="0015339A">
            <w:pPr>
              <w:tabs>
                <w:tab w:val="center" w:pos="4400"/>
              </w:tabs>
              <w:jc w:val="both"/>
              <w:rPr>
                <w:rFonts w:ascii="Arial" w:hAnsi="Arial" w:cs="Arial"/>
                <w:b/>
                <w:bCs/>
              </w:rPr>
            </w:pPr>
            <w:r w:rsidRPr="004C27B1">
              <w:rPr>
                <w:rFonts w:ascii="Arial" w:hAnsi="Arial" w:cs="Arial"/>
                <w:b/>
                <w:bCs/>
              </w:rPr>
              <w:t xml:space="preserve">Table </w:t>
            </w:r>
            <w:r w:rsidR="00E730D0" w:rsidRPr="004C27B1">
              <w:rPr>
                <w:rFonts w:ascii="Arial" w:hAnsi="Arial" w:cs="Arial"/>
                <w:b/>
                <w:bCs/>
              </w:rPr>
              <w:t>10</w:t>
            </w:r>
            <w:r w:rsidRPr="004C27B1">
              <w:rPr>
                <w:rFonts w:ascii="Arial" w:hAnsi="Arial" w:cs="Arial"/>
                <w:b/>
                <w:bCs/>
              </w:rPr>
              <w:t>.1:  Summary of Potential Effects (</w:t>
            </w:r>
            <w:r w:rsidR="00E730D0" w:rsidRPr="004C27B1">
              <w:rPr>
                <w:rFonts w:ascii="Arial" w:hAnsi="Arial" w:cs="Arial"/>
                <w:b/>
                <w:bCs/>
              </w:rPr>
              <w:t>Biodiversity</w:t>
            </w:r>
            <w:r w:rsidRPr="004C27B1">
              <w:rPr>
                <w:rFonts w:ascii="Arial" w:hAnsi="Arial" w:cs="Arial"/>
                <w:b/>
                <w:bCs/>
              </w:rPr>
              <w:t>)</w:t>
            </w:r>
          </w:p>
        </w:tc>
      </w:tr>
      <w:tr w:rsidR="00E9683D" w:rsidRPr="00E10034" w14:paraId="03B155E7" w14:textId="77777777" w:rsidTr="0015339A">
        <w:tc>
          <w:tcPr>
            <w:tcW w:w="9016" w:type="dxa"/>
            <w:shd w:val="clear" w:color="auto" w:fill="D9D9D9" w:themeFill="background1" w:themeFillShade="D9"/>
          </w:tcPr>
          <w:p w14:paraId="59288CE0" w14:textId="77777777" w:rsidR="00E9683D" w:rsidRPr="004C27B1" w:rsidRDefault="00E9683D" w:rsidP="0015339A">
            <w:pPr>
              <w:tabs>
                <w:tab w:val="center" w:pos="4400"/>
              </w:tabs>
              <w:jc w:val="both"/>
              <w:rPr>
                <w:rFonts w:ascii="Arial" w:hAnsi="Arial" w:cs="Arial"/>
              </w:rPr>
            </w:pPr>
            <w:r w:rsidRPr="004C27B1">
              <w:rPr>
                <w:rFonts w:ascii="Arial" w:hAnsi="Arial" w:cs="Arial"/>
                <w:b/>
                <w:bCs/>
              </w:rPr>
              <w:t>Do Nothing</w:t>
            </w:r>
            <w:r w:rsidRPr="004C27B1">
              <w:rPr>
                <w:rFonts w:ascii="Arial" w:hAnsi="Arial" w:cs="Arial"/>
                <w:b/>
                <w:bCs/>
              </w:rPr>
              <w:tab/>
            </w:r>
          </w:p>
        </w:tc>
      </w:tr>
      <w:tr w:rsidR="00E9683D" w:rsidRPr="00E10034" w14:paraId="3508FF6B" w14:textId="77777777" w:rsidTr="0015339A">
        <w:tc>
          <w:tcPr>
            <w:tcW w:w="9016" w:type="dxa"/>
          </w:tcPr>
          <w:p w14:paraId="408B24A1" w14:textId="17B8418B" w:rsidR="00E9683D" w:rsidRPr="004C27B1" w:rsidRDefault="006C3911" w:rsidP="00C6208E">
            <w:pPr>
              <w:pStyle w:val="ListParagraph"/>
              <w:numPr>
                <w:ilvl w:val="0"/>
                <w:numId w:val="43"/>
              </w:numPr>
              <w:spacing w:after="0" w:line="240" w:lineRule="auto"/>
              <w:jc w:val="both"/>
              <w:rPr>
                <w:sz w:val="22"/>
                <w:szCs w:val="22"/>
              </w:rPr>
            </w:pPr>
            <w:r w:rsidRPr="004C27B1">
              <w:rPr>
                <w:sz w:val="22"/>
                <w:szCs w:val="22"/>
              </w:rPr>
              <w:t>The future baseline in the absence of the Proposed Development (the ‘do nothing scenario’), taken for these purposes to be the situation 25 years from the time of commissioning, would likely be very similar to the current baseline. Habitats and species assemblage found to be present in the current baseline conditions will remain largely unchanged.</w:t>
            </w:r>
            <w:r w:rsidR="00E9683D" w:rsidRPr="004C27B1">
              <w:rPr>
                <w:sz w:val="22"/>
                <w:szCs w:val="22"/>
              </w:rPr>
              <w:t xml:space="preserve">  </w:t>
            </w:r>
          </w:p>
        </w:tc>
      </w:tr>
      <w:tr w:rsidR="00E9683D" w:rsidRPr="00E10034" w14:paraId="45748096" w14:textId="77777777" w:rsidTr="0015339A">
        <w:tc>
          <w:tcPr>
            <w:tcW w:w="9016" w:type="dxa"/>
            <w:shd w:val="clear" w:color="auto" w:fill="D9D9D9" w:themeFill="background1" w:themeFillShade="D9"/>
          </w:tcPr>
          <w:p w14:paraId="353B77ED" w14:textId="57B3A10D" w:rsidR="00E9683D" w:rsidRPr="004C27B1" w:rsidRDefault="00E9683D" w:rsidP="0015339A">
            <w:pPr>
              <w:jc w:val="both"/>
              <w:rPr>
                <w:rFonts w:ascii="Arial" w:hAnsi="Arial" w:cs="Arial"/>
              </w:rPr>
            </w:pPr>
            <w:r w:rsidRPr="004C27B1">
              <w:rPr>
                <w:rFonts w:ascii="Arial" w:hAnsi="Arial" w:cs="Arial"/>
                <w:b/>
                <w:bCs/>
              </w:rPr>
              <w:t>Construction</w:t>
            </w:r>
            <w:r w:rsidR="004E4F2A" w:rsidRPr="004C27B1">
              <w:rPr>
                <w:rFonts w:ascii="Arial" w:hAnsi="Arial" w:cs="Arial"/>
                <w:b/>
                <w:bCs/>
              </w:rPr>
              <w:t>, Operation and Decommissioning Phase Impacts</w:t>
            </w:r>
          </w:p>
        </w:tc>
      </w:tr>
      <w:tr w:rsidR="00E9683D" w:rsidRPr="00E10034" w14:paraId="5726EB65" w14:textId="77777777" w:rsidTr="0015339A">
        <w:tc>
          <w:tcPr>
            <w:tcW w:w="9016" w:type="dxa"/>
          </w:tcPr>
          <w:p w14:paraId="366526F0" w14:textId="11830915" w:rsidR="001D0AA5" w:rsidRPr="004C27B1" w:rsidRDefault="001D0AA5" w:rsidP="00796F4B">
            <w:pPr>
              <w:jc w:val="both"/>
              <w:rPr>
                <w:rFonts w:ascii="Arial" w:hAnsi="Arial" w:cs="Arial"/>
              </w:rPr>
            </w:pPr>
            <w:r w:rsidRPr="004C27B1">
              <w:rPr>
                <w:rFonts w:ascii="Arial" w:hAnsi="Arial" w:cs="Arial"/>
              </w:rPr>
              <w:t xml:space="preserve">The following broad categories of impact could arise during </w:t>
            </w:r>
            <w:r w:rsidR="0093474E">
              <w:rPr>
                <w:rFonts w:ascii="Arial" w:hAnsi="Arial" w:cs="Arial"/>
              </w:rPr>
              <w:t>all phases</w:t>
            </w:r>
            <w:r w:rsidRPr="004C27B1">
              <w:rPr>
                <w:rFonts w:ascii="Arial" w:hAnsi="Arial" w:cs="Arial"/>
              </w:rPr>
              <w:t xml:space="preserve"> of the Proposed Development and are considered, where potentially relevant, in relation to each of the ecological features scoped in to detailed assessment: </w:t>
            </w:r>
          </w:p>
          <w:p w14:paraId="5E30E093" w14:textId="2C0D274B" w:rsidR="008E0257" w:rsidRPr="004C27B1" w:rsidRDefault="001D0AA5" w:rsidP="00C6208E">
            <w:pPr>
              <w:pStyle w:val="ListParagraph"/>
              <w:numPr>
                <w:ilvl w:val="0"/>
                <w:numId w:val="41"/>
              </w:numPr>
              <w:spacing w:after="0" w:line="240" w:lineRule="auto"/>
              <w:jc w:val="both"/>
              <w:rPr>
                <w:sz w:val="22"/>
                <w:szCs w:val="22"/>
              </w:rPr>
            </w:pPr>
            <w:r w:rsidRPr="004C27B1">
              <w:rPr>
                <w:sz w:val="22"/>
                <w:szCs w:val="22"/>
              </w:rPr>
              <w:t xml:space="preserve">Permanent and / or temporary loss or degradation of habitats during construction, and potentially decommissioning </w:t>
            </w:r>
            <w:proofErr w:type="gramStart"/>
            <w:r w:rsidRPr="004C27B1">
              <w:rPr>
                <w:sz w:val="22"/>
                <w:szCs w:val="22"/>
              </w:rPr>
              <w:t>also;</w:t>
            </w:r>
            <w:proofErr w:type="gramEnd"/>
            <w:r w:rsidRPr="004C27B1">
              <w:rPr>
                <w:sz w:val="22"/>
                <w:szCs w:val="22"/>
              </w:rPr>
              <w:t xml:space="preserve">  </w:t>
            </w:r>
          </w:p>
          <w:p w14:paraId="69A42B52" w14:textId="30203C57" w:rsidR="008E0257" w:rsidRPr="004C27B1" w:rsidRDefault="008E0257" w:rsidP="00C6208E">
            <w:pPr>
              <w:pStyle w:val="ListParagraph"/>
              <w:numPr>
                <w:ilvl w:val="0"/>
                <w:numId w:val="41"/>
              </w:numPr>
              <w:spacing w:after="0" w:line="240" w:lineRule="auto"/>
              <w:jc w:val="both"/>
              <w:rPr>
                <w:sz w:val="22"/>
                <w:szCs w:val="22"/>
              </w:rPr>
            </w:pPr>
            <w:r w:rsidRPr="004C27B1">
              <w:rPr>
                <w:sz w:val="22"/>
                <w:szCs w:val="22"/>
              </w:rPr>
              <w:t>A</w:t>
            </w:r>
            <w:r w:rsidR="001D0AA5" w:rsidRPr="004C27B1">
              <w:rPr>
                <w:sz w:val="22"/>
                <w:szCs w:val="22"/>
              </w:rPr>
              <w:t xml:space="preserve">irborne pollution </w:t>
            </w:r>
            <w:r w:rsidR="00ED4095">
              <w:rPr>
                <w:sz w:val="22"/>
                <w:szCs w:val="22"/>
              </w:rPr>
              <w:t>from</w:t>
            </w:r>
            <w:r w:rsidR="001D0AA5" w:rsidRPr="004C27B1">
              <w:rPr>
                <w:sz w:val="22"/>
                <w:szCs w:val="22"/>
              </w:rPr>
              <w:t xml:space="preserve"> emissions during </w:t>
            </w:r>
            <w:r w:rsidR="00783DF8">
              <w:rPr>
                <w:sz w:val="22"/>
                <w:szCs w:val="22"/>
              </w:rPr>
              <w:t>all phases</w:t>
            </w:r>
            <w:r w:rsidR="00ED4095">
              <w:rPr>
                <w:sz w:val="22"/>
                <w:szCs w:val="22"/>
              </w:rPr>
              <w:t xml:space="preserve"> of the </w:t>
            </w:r>
            <w:r w:rsidR="001D0AA5" w:rsidRPr="004C27B1">
              <w:rPr>
                <w:sz w:val="22"/>
                <w:szCs w:val="22"/>
              </w:rPr>
              <w:t xml:space="preserve">Proposed </w:t>
            </w:r>
            <w:proofErr w:type="gramStart"/>
            <w:r w:rsidR="001D0AA5" w:rsidRPr="004C27B1">
              <w:rPr>
                <w:sz w:val="22"/>
                <w:szCs w:val="22"/>
              </w:rPr>
              <w:t>Development;</w:t>
            </w:r>
            <w:proofErr w:type="gramEnd"/>
            <w:r w:rsidR="001D0AA5" w:rsidRPr="004C27B1">
              <w:rPr>
                <w:sz w:val="22"/>
                <w:szCs w:val="22"/>
              </w:rPr>
              <w:t xml:space="preserve"> </w:t>
            </w:r>
          </w:p>
          <w:p w14:paraId="4C3200A9" w14:textId="5EFD8E6A" w:rsidR="008E0257" w:rsidRPr="004C27B1" w:rsidRDefault="008E0257" w:rsidP="00C6208E">
            <w:pPr>
              <w:pStyle w:val="ListParagraph"/>
              <w:numPr>
                <w:ilvl w:val="0"/>
                <w:numId w:val="41"/>
              </w:numPr>
              <w:spacing w:after="0" w:line="240" w:lineRule="auto"/>
              <w:jc w:val="both"/>
              <w:rPr>
                <w:sz w:val="22"/>
                <w:szCs w:val="22"/>
              </w:rPr>
            </w:pPr>
            <w:r w:rsidRPr="004C27B1">
              <w:rPr>
                <w:sz w:val="22"/>
                <w:szCs w:val="22"/>
              </w:rPr>
              <w:t>D</w:t>
            </w:r>
            <w:r w:rsidR="001D0AA5" w:rsidRPr="004C27B1">
              <w:rPr>
                <w:sz w:val="22"/>
                <w:szCs w:val="22"/>
              </w:rPr>
              <w:t xml:space="preserve">isturbance of animal species during </w:t>
            </w:r>
            <w:r w:rsidR="00ED4095">
              <w:rPr>
                <w:sz w:val="22"/>
                <w:szCs w:val="22"/>
              </w:rPr>
              <w:t>all phases</w:t>
            </w:r>
            <w:r w:rsidR="001D0AA5" w:rsidRPr="004C27B1">
              <w:rPr>
                <w:sz w:val="22"/>
                <w:szCs w:val="22"/>
              </w:rPr>
              <w:t xml:space="preserve"> due to increased noise, vibration, lighting, or the presence of personnel, plant and / or </w:t>
            </w:r>
            <w:proofErr w:type="gramStart"/>
            <w:r w:rsidR="001D0AA5" w:rsidRPr="004C27B1">
              <w:rPr>
                <w:sz w:val="22"/>
                <w:szCs w:val="22"/>
              </w:rPr>
              <w:t>machinery;</w:t>
            </w:r>
            <w:proofErr w:type="gramEnd"/>
            <w:r w:rsidR="001D0AA5" w:rsidRPr="004C27B1">
              <w:rPr>
                <w:sz w:val="22"/>
                <w:szCs w:val="22"/>
              </w:rPr>
              <w:t xml:space="preserve"> </w:t>
            </w:r>
          </w:p>
          <w:p w14:paraId="546159CD" w14:textId="40C53608" w:rsidR="008E0257" w:rsidRPr="004C27B1" w:rsidRDefault="008E0257" w:rsidP="00C6208E">
            <w:pPr>
              <w:pStyle w:val="ListParagraph"/>
              <w:numPr>
                <w:ilvl w:val="0"/>
                <w:numId w:val="41"/>
              </w:numPr>
              <w:spacing w:after="0" w:line="240" w:lineRule="auto"/>
              <w:jc w:val="both"/>
              <w:rPr>
                <w:sz w:val="22"/>
                <w:szCs w:val="22"/>
              </w:rPr>
            </w:pPr>
            <w:r w:rsidRPr="004C27B1">
              <w:rPr>
                <w:sz w:val="22"/>
                <w:szCs w:val="22"/>
              </w:rPr>
              <w:t>D</w:t>
            </w:r>
            <w:r w:rsidR="001D0AA5" w:rsidRPr="004C27B1">
              <w:rPr>
                <w:sz w:val="22"/>
                <w:szCs w:val="22"/>
              </w:rPr>
              <w:t xml:space="preserve">amage or destruction of the resting places of protected or notable animal species during construction and decommissioning of the Proposed </w:t>
            </w:r>
            <w:proofErr w:type="gramStart"/>
            <w:r w:rsidR="001D0AA5" w:rsidRPr="004C27B1">
              <w:rPr>
                <w:sz w:val="22"/>
                <w:szCs w:val="22"/>
              </w:rPr>
              <w:t>Development;</w:t>
            </w:r>
            <w:proofErr w:type="gramEnd"/>
            <w:r w:rsidR="001D0AA5" w:rsidRPr="004C27B1">
              <w:rPr>
                <w:sz w:val="22"/>
                <w:szCs w:val="22"/>
              </w:rPr>
              <w:t xml:space="preserve"> </w:t>
            </w:r>
          </w:p>
          <w:p w14:paraId="3888CD2E" w14:textId="402EF0AD" w:rsidR="008E0257" w:rsidRPr="004C27B1" w:rsidRDefault="008E0257" w:rsidP="00C6208E">
            <w:pPr>
              <w:pStyle w:val="ListParagraph"/>
              <w:numPr>
                <w:ilvl w:val="0"/>
                <w:numId w:val="41"/>
              </w:numPr>
              <w:spacing w:after="0" w:line="240" w:lineRule="auto"/>
              <w:jc w:val="both"/>
              <w:rPr>
                <w:sz w:val="22"/>
                <w:szCs w:val="22"/>
              </w:rPr>
            </w:pPr>
            <w:r w:rsidRPr="004C27B1">
              <w:rPr>
                <w:sz w:val="22"/>
                <w:szCs w:val="22"/>
              </w:rPr>
              <w:t>D</w:t>
            </w:r>
            <w:r w:rsidR="001D0AA5" w:rsidRPr="004C27B1">
              <w:rPr>
                <w:sz w:val="22"/>
                <w:szCs w:val="22"/>
              </w:rPr>
              <w:t xml:space="preserve">isplacement of animal species during all phases of the Proposed </w:t>
            </w:r>
            <w:proofErr w:type="gramStart"/>
            <w:r w:rsidR="001D0AA5" w:rsidRPr="004C27B1">
              <w:rPr>
                <w:sz w:val="22"/>
                <w:szCs w:val="22"/>
              </w:rPr>
              <w:t>Development;</w:t>
            </w:r>
            <w:proofErr w:type="gramEnd"/>
            <w:r w:rsidR="001D0AA5" w:rsidRPr="004C27B1">
              <w:rPr>
                <w:sz w:val="22"/>
                <w:szCs w:val="22"/>
              </w:rPr>
              <w:t xml:space="preserve"> </w:t>
            </w:r>
          </w:p>
          <w:p w14:paraId="22179F76" w14:textId="77777777" w:rsidR="001A44D8" w:rsidRDefault="008E0257" w:rsidP="00C6208E">
            <w:pPr>
              <w:pStyle w:val="ListParagraph"/>
              <w:numPr>
                <w:ilvl w:val="0"/>
                <w:numId w:val="41"/>
              </w:numPr>
              <w:spacing w:after="0" w:line="240" w:lineRule="auto"/>
              <w:jc w:val="both"/>
              <w:rPr>
                <w:sz w:val="22"/>
                <w:szCs w:val="22"/>
              </w:rPr>
            </w:pPr>
            <w:r w:rsidRPr="004C27B1">
              <w:rPr>
                <w:sz w:val="22"/>
                <w:szCs w:val="22"/>
              </w:rPr>
              <w:t>I</w:t>
            </w:r>
            <w:r w:rsidR="001D0AA5" w:rsidRPr="004C27B1">
              <w:rPr>
                <w:sz w:val="22"/>
                <w:szCs w:val="22"/>
              </w:rPr>
              <w:t>njury or mortality of plant or animal species during construction and</w:t>
            </w:r>
            <w:r w:rsidRPr="004C27B1">
              <w:rPr>
                <w:sz w:val="22"/>
                <w:szCs w:val="22"/>
              </w:rPr>
              <w:t xml:space="preserve"> </w:t>
            </w:r>
            <w:r w:rsidR="001D0AA5" w:rsidRPr="004C27B1">
              <w:rPr>
                <w:sz w:val="22"/>
                <w:szCs w:val="22"/>
              </w:rPr>
              <w:t xml:space="preserve">decommissioning; and </w:t>
            </w:r>
          </w:p>
          <w:p w14:paraId="71329BE4" w14:textId="21F04A2D" w:rsidR="00DC5377" w:rsidRPr="004C27B1" w:rsidRDefault="001A44D8" w:rsidP="00C6208E">
            <w:pPr>
              <w:pStyle w:val="ListParagraph"/>
              <w:numPr>
                <w:ilvl w:val="0"/>
                <w:numId w:val="41"/>
              </w:numPr>
              <w:spacing w:after="0" w:line="240" w:lineRule="auto"/>
              <w:jc w:val="both"/>
              <w:rPr>
                <w:sz w:val="22"/>
                <w:szCs w:val="22"/>
              </w:rPr>
            </w:pPr>
            <w:r>
              <w:rPr>
                <w:sz w:val="22"/>
                <w:szCs w:val="22"/>
              </w:rPr>
              <w:t>T</w:t>
            </w:r>
            <w:r w:rsidR="001D0AA5" w:rsidRPr="004C27B1">
              <w:rPr>
                <w:sz w:val="22"/>
                <w:szCs w:val="22"/>
              </w:rPr>
              <w:t xml:space="preserve">he spread of invasive non-native plant species </w:t>
            </w:r>
          </w:p>
          <w:p w14:paraId="764D6370" w14:textId="77777777" w:rsidR="00E01B43" w:rsidRPr="004C27B1" w:rsidRDefault="00E01B43" w:rsidP="00E01B43">
            <w:pPr>
              <w:jc w:val="both"/>
            </w:pPr>
          </w:p>
          <w:p w14:paraId="7427DEEA" w14:textId="49DCAF7A" w:rsidR="00E01B43" w:rsidRPr="004C27B1" w:rsidRDefault="00E01B43" w:rsidP="00E01B43">
            <w:pPr>
              <w:jc w:val="both"/>
            </w:pPr>
            <w:r w:rsidRPr="004C27B1">
              <w:rPr>
                <w:rFonts w:ascii="Arial" w:hAnsi="Arial" w:cs="Arial"/>
              </w:rPr>
              <w:t xml:space="preserve">The EIAR has assessed construction, operational and decommissioning phase impacts </w:t>
            </w:r>
            <w:r w:rsidR="00B50672">
              <w:rPr>
                <w:rFonts w:ascii="Arial" w:hAnsi="Arial" w:cs="Arial"/>
              </w:rPr>
              <w:t xml:space="preserve">on Habitats/Species </w:t>
            </w:r>
            <w:r w:rsidRPr="004C27B1">
              <w:rPr>
                <w:rFonts w:ascii="Arial" w:hAnsi="Arial" w:cs="Arial"/>
              </w:rPr>
              <w:t>under the following headings</w:t>
            </w:r>
            <w:r w:rsidR="00AB2379" w:rsidRPr="004C27B1">
              <w:rPr>
                <w:rFonts w:ascii="Arial" w:hAnsi="Arial" w:cs="Arial"/>
              </w:rPr>
              <w:t xml:space="preserve"> which are summarised in Table 10.2 </w:t>
            </w:r>
            <w:proofErr w:type="gramStart"/>
            <w:r w:rsidR="00AB2379" w:rsidRPr="004C27B1">
              <w:rPr>
                <w:rFonts w:ascii="Arial" w:hAnsi="Arial" w:cs="Arial"/>
              </w:rPr>
              <w:t>below</w:t>
            </w:r>
            <w:r w:rsidRPr="004C27B1">
              <w:rPr>
                <w:rFonts w:ascii="Arial" w:hAnsi="Arial" w:cs="Arial"/>
              </w:rPr>
              <w:t>;</w:t>
            </w:r>
            <w:proofErr w:type="gramEnd"/>
          </w:p>
          <w:p w14:paraId="13BEF727" w14:textId="77777777" w:rsidR="00E01B43" w:rsidRPr="004C27B1" w:rsidRDefault="00E01B43" w:rsidP="00E01B43">
            <w:pPr>
              <w:jc w:val="both"/>
            </w:pPr>
          </w:p>
          <w:tbl>
            <w:tblPr>
              <w:tblStyle w:val="TableGrid"/>
              <w:tblW w:w="0" w:type="auto"/>
              <w:tblLook w:val="04A0" w:firstRow="1" w:lastRow="0" w:firstColumn="1" w:lastColumn="0" w:noHBand="0" w:noVBand="1"/>
            </w:tblPr>
            <w:tblGrid>
              <w:gridCol w:w="1622"/>
              <w:gridCol w:w="3186"/>
              <w:gridCol w:w="1779"/>
              <w:gridCol w:w="2203"/>
            </w:tblGrid>
            <w:tr w:rsidR="00F10889" w:rsidRPr="004C27B1" w14:paraId="43CFA67C" w14:textId="77777777" w:rsidTr="00C84B04">
              <w:tc>
                <w:tcPr>
                  <w:tcW w:w="8790" w:type="dxa"/>
                  <w:gridSpan w:val="4"/>
                  <w:shd w:val="clear" w:color="auto" w:fill="D9D9D9" w:themeFill="background1" w:themeFillShade="D9"/>
                </w:tcPr>
                <w:p w14:paraId="6A8558B7" w14:textId="77777777" w:rsidR="004B0A19" w:rsidRPr="004C27B1" w:rsidRDefault="004B0A19" w:rsidP="00E01B43">
                  <w:pPr>
                    <w:jc w:val="both"/>
                    <w:rPr>
                      <w:rFonts w:ascii="Arial" w:hAnsi="Arial" w:cs="Arial"/>
                      <w:b/>
                      <w:bCs/>
                    </w:rPr>
                  </w:pPr>
                </w:p>
                <w:p w14:paraId="3277A28E" w14:textId="77777777" w:rsidR="00F10889" w:rsidRPr="004C27B1" w:rsidRDefault="00F10889" w:rsidP="00E01B43">
                  <w:pPr>
                    <w:jc w:val="both"/>
                    <w:rPr>
                      <w:rFonts w:ascii="Arial" w:hAnsi="Arial" w:cs="Arial"/>
                      <w:b/>
                      <w:bCs/>
                    </w:rPr>
                  </w:pPr>
                  <w:r w:rsidRPr="004C27B1">
                    <w:rPr>
                      <w:rFonts w:ascii="Arial" w:hAnsi="Arial" w:cs="Arial"/>
                      <w:b/>
                      <w:bCs/>
                    </w:rPr>
                    <w:t xml:space="preserve">Table </w:t>
                  </w:r>
                  <w:proofErr w:type="gramStart"/>
                  <w:r w:rsidRPr="004C27B1">
                    <w:rPr>
                      <w:rFonts w:ascii="Arial" w:hAnsi="Arial" w:cs="Arial"/>
                      <w:b/>
                      <w:bCs/>
                    </w:rPr>
                    <w:t>10.2  Summary</w:t>
                  </w:r>
                  <w:proofErr w:type="gramEnd"/>
                  <w:r w:rsidRPr="004C27B1">
                    <w:rPr>
                      <w:rFonts w:ascii="Arial" w:hAnsi="Arial" w:cs="Arial"/>
                      <w:b/>
                      <w:bCs/>
                    </w:rPr>
                    <w:t xml:space="preserve"> Table of Likely Impact</w:t>
                  </w:r>
                  <w:r w:rsidR="00FC4AC6" w:rsidRPr="004C27B1">
                    <w:rPr>
                      <w:rFonts w:ascii="Arial" w:hAnsi="Arial" w:cs="Arial"/>
                      <w:b/>
                      <w:bCs/>
                    </w:rPr>
                    <w:t xml:space="preserve"> on Habitats/Species</w:t>
                  </w:r>
                </w:p>
                <w:p w14:paraId="3A03EE09" w14:textId="03BC513E" w:rsidR="004B0A19" w:rsidRPr="004C27B1" w:rsidRDefault="004B0A19" w:rsidP="00E01B43">
                  <w:pPr>
                    <w:jc w:val="both"/>
                    <w:rPr>
                      <w:rFonts w:ascii="Arial" w:hAnsi="Arial" w:cs="Arial"/>
                      <w:b/>
                      <w:bCs/>
                    </w:rPr>
                  </w:pPr>
                </w:p>
              </w:tc>
            </w:tr>
            <w:tr w:rsidR="006707CC" w:rsidRPr="004C27B1" w14:paraId="493C1FAD" w14:textId="77777777" w:rsidTr="0051151D">
              <w:tc>
                <w:tcPr>
                  <w:tcW w:w="955" w:type="dxa"/>
                </w:tcPr>
                <w:p w14:paraId="2F3DDF9B" w14:textId="77777777" w:rsidR="00E01B43" w:rsidRPr="004C27B1" w:rsidRDefault="00E01B43" w:rsidP="00E01B43">
                  <w:pPr>
                    <w:jc w:val="both"/>
                    <w:rPr>
                      <w:rFonts w:ascii="Arial" w:hAnsi="Arial" w:cs="Arial"/>
                      <w:b/>
                      <w:bCs/>
                    </w:rPr>
                  </w:pPr>
                  <w:r w:rsidRPr="004C27B1">
                    <w:rPr>
                      <w:rFonts w:ascii="Arial" w:hAnsi="Arial" w:cs="Arial"/>
                      <w:b/>
                      <w:bCs/>
                    </w:rPr>
                    <w:t>Habitats/ Species</w:t>
                  </w:r>
                </w:p>
              </w:tc>
              <w:tc>
                <w:tcPr>
                  <w:tcW w:w="3740" w:type="dxa"/>
                </w:tcPr>
                <w:p w14:paraId="73B81160" w14:textId="7FDE9218" w:rsidR="00E01B43" w:rsidRPr="004C27B1" w:rsidRDefault="00E01B43" w:rsidP="00E01B43">
                  <w:pPr>
                    <w:jc w:val="both"/>
                    <w:rPr>
                      <w:rFonts w:ascii="Arial" w:hAnsi="Arial" w:cs="Arial"/>
                      <w:b/>
                      <w:bCs/>
                    </w:rPr>
                  </w:pPr>
                  <w:r w:rsidRPr="004C27B1">
                    <w:rPr>
                      <w:rFonts w:ascii="Arial" w:hAnsi="Arial" w:cs="Arial"/>
                      <w:b/>
                      <w:bCs/>
                    </w:rPr>
                    <w:t xml:space="preserve">Construction </w:t>
                  </w:r>
                  <w:r w:rsidR="004B0A19" w:rsidRPr="004C27B1">
                    <w:rPr>
                      <w:rFonts w:ascii="Arial" w:hAnsi="Arial" w:cs="Arial"/>
                      <w:b/>
                      <w:bCs/>
                    </w:rPr>
                    <w:t xml:space="preserve">Phase </w:t>
                  </w:r>
                  <w:r w:rsidRPr="004C27B1">
                    <w:rPr>
                      <w:rFonts w:ascii="Arial" w:hAnsi="Arial" w:cs="Arial"/>
                      <w:b/>
                      <w:bCs/>
                    </w:rPr>
                    <w:t>Impact</w:t>
                  </w:r>
                </w:p>
              </w:tc>
              <w:tc>
                <w:tcPr>
                  <w:tcW w:w="1860" w:type="dxa"/>
                </w:tcPr>
                <w:p w14:paraId="777F886E" w14:textId="2C34878A" w:rsidR="00E01B43" w:rsidRPr="004C27B1" w:rsidRDefault="00E01B43" w:rsidP="00E01B43">
                  <w:pPr>
                    <w:jc w:val="both"/>
                    <w:rPr>
                      <w:rFonts w:ascii="Arial" w:hAnsi="Arial" w:cs="Arial"/>
                      <w:b/>
                      <w:bCs/>
                    </w:rPr>
                  </w:pPr>
                  <w:r w:rsidRPr="004C27B1">
                    <w:rPr>
                      <w:rFonts w:ascii="Arial" w:hAnsi="Arial" w:cs="Arial"/>
                      <w:b/>
                      <w:bCs/>
                    </w:rPr>
                    <w:t>Operational</w:t>
                  </w:r>
                  <w:r w:rsidR="004B0A19" w:rsidRPr="004C27B1">
                    <w:rPr>
                      <w:rFonts w:ascii="Arial" w:hAnsi="Arial" w:cs="Arial"/>
                      <w:b/>
                      <w:bCs/>
                    </w:rPr>
                    <w:t xml:space="preserve"> Phase</w:t>
                  </w:r>
                  <w:r w:rsidRPr="004C27B1">
                    <w:rPr>
                      <w:rFonts w:ascii="Arial" w:hAnsi="Arial" w:cs="Arial"/>
                      <w:b/>
                      <w:bCs/>
                    </w:rPr>
                    <w:t xml:space="preserve"> Impact</w:t>
                  </w:r>
                </w:p>
              </w:tc>
              <w:tc>
                <w:tcPr>
                  <w:tcW w:w="2235" w:type="dxa"/>
                </w:tcPr>
                <w:p w14:paraId="72A1EE33" w14:textId="7E5E53A8" w:rsidR="00E01B43" w:rsidRPr="004C27B1" w:rsidRDefault="00E01B43" w:rsidP="00E01B43">
                  <w:pPr>
                    <w:jc w:val="both"/>
                    <w:rPr>
                      <w:rFonts w:ascii="Arial" w:hAnsi="Arial" w:cs="Arial"/>
                      <w:b/>
                      <w:bCs/>
                    </w:rPr>
                  </w:pPr>
                  <w:r w:rsidRPr="004C27B1">
                    <w:rPr>
                      <w:rFonts w:ascii="Arial" w:hAnsi="Arial" w:cs="Arial"/>
                      <w:b/>
                      <w:bCs/>
                    </w:rPr>
                    <w:t xml:space="preserve">Decommissioning </w:t>
                  </w:r>
                  <w:r w:rsidR="004B0A19" w:rsidRPr="004C27B1">
                    <w:rPr>
                      <w:rFonts w:ascii="Arial" w:hAnsi="Arial" w:cs="Arial"/>
                      <w:b/>
                      <w:bCs/>
                    </w:rPr>
                    <w:t xml:space="preserve">Phase </w:t>
                  </w:r>
                  <w:r w:rsidRPr="004C27B1">
                    <w:rPr>
                      <w:rFonts w:ascii="Arial" w:hAnsi="Arial" w:cs="Arial"/>
                      <w:b/>
                      <w:bCs/>
                    </w:rPr>
                    <w:t>Impact</w:t>
                  </w:r>
                </w:p>
              </w:tc>
            </w:tr>
            <w:tr w:rsidR="006707CC" w:rsidRPr="004C27B1" w14:paraId="24BA1F52" w14:textId="77777777" w:rsidTr="0051151D">
              <w:tc>
                <w:tcPr>
                  <w:tcW w:w="955" w:type="dxa"/>
                </w:tcPr>
                <w:p w14:paraId="22980126" w14:textId="77777777" w:rsidR="00E01B43" w:rsidRPr="004C27B1" w:rsidRDefault="00E01B43" w:rsidP="00E01B43">
                  <w:pPr>
                    <w:jc w:val="both"/>
                    <w:rPr>
                      <w:rFonts w:ascii="Arial" w:hAnsi="Arial" w:cs="Arial"/>
                      <w:b/>
                      <w:bCs/>
                    </w:rPr>
                  </w:pPr>
                  <w:r w:rsidRPr="004C27B1">
                    <w:rPr>
                      <w:rFonts w:ascii="Arial" w:hAnsi="Arial" w:cs="Arial"/>
                      <w:b/>
                      <w:bCs/>
                    </w:rPr>
                    <w:t>Impacts on Nature Conservation Designations</w:t>
                  </w:r>
                </w:p>
              </w:tc>
              <w:tc>
                <w:tcPr>
                  <w:tcW w:w="3740" w:type="dxa"/>
                </w:tcPr>
                <w:p w14:paraId="3C70C55A" w14:textId="690144DF" w:rsidR="00E01B43" w:rsidRPr="004C27B1" w:rsidRDefault="00C84B04" w:rsidP="00E01B43">
                  <w:pPr>
                    <w:jc w:val="both"/>
                    <w:rPr>
                      <w:rFonts w:ascii="Arial" w:hAnsi="Arial" w:cs="Arial"/>
                    </w:rPr>
                  </w:pPr>
                  <w:r w:rsidRPr="004C27B1">
                    <w:rPr>
                      <w:rFonts w:ascii="Arial" w:hAnsi="Arial" w:cs="Arial"/>
                    </w:rPr>
                    <w:t>Negligible Effects</w:t>
                  </w:r>
                </w:p>
              </w:tc>
              <w:tc>
                <w:tcPr>
                  <w:tcW w:w="1860" w:type="dxa"/>
                </w:tcPr>
                <w:p w14:paraId="4D4FF086" w14:textId="5388AE8B" w:rsidR="00E01B43" w:rsidRPr="004C27B1" w:rsidRDefault="0042309E" w:rsidP="00E01B43">
                  <w:pPr>
                    <w:jc w:val="both"/>
                    <w:rPr>
                      <w:rFonts w:ascii="Arial" w:hAnsi="Arial" w:cs="Arial"/>
                    </w:rPr>
                  </w:pPr>
                  <w:r w:rsidRPr="004C27B1">
                    <w:rPr>
                      <w:rFonts w:ascii="Arial" w:hAnsi="Arial" w:cs="Arial"/>
                    </w:rPr>
                    <w:t>Negligible Effects</w:t>
                  </w:r>
                </w:p>
              </w:tc>
              <w:tc>
                <w:tcPr>
                  <w:tcW w:w="2235" w:type="dxa"/>
                </w:tcPr>
                <w:p w14:paraId="0ECB34ED" w14:textId="3D9CFC50" w:rsidR="00E01B43" w:rsidRPr="004C27B1" w:rsidRDefault="0042309E" w:rsidP="00E01B43">
                  <w:pPr>
                    <w:jc w:val="both"/>
                    <w:rPr>
                      <w:rFonts w:ascii="Arial" w:hAnsi="Arial" w:cs="Arial"/>
                    </w:rPr>
                  </w:pPr>
                  <w:r w:rsidRPr="004C27B1">
                    <w:rPr>
                      <w:rFonts w:ascii="Arial" w:hAnsi="Arial" w:cs="Arial"/>
                    </w:rPr>
                    <w:t>Negligible Effects</w:t>
                  </w:r>
                </w:p>
              </w:tc>
            </w:tr>
            <w:tr w:rsidR="006707CC" w:rsidRPr="004C27B1" w14:paraId="3ECA816B" w14:textId="77777777" w:rsidTr="0051151D">
              <w:tc>
                <w:tcPr>
                  <w:tcW w:w="955" w:type="dxa"/>
                </w:tcPr>
                <w:p w14:paraId="1350619C" w14:textId="77777777" w:rsidR="00E01B43" w:rsidRPr="004C27B1" w:rsidRDefault="00E01B43" w:rsidP="00E01B43">
                  <w:pPr>
                    <w:jc w:val="both"/>
                    <w:rPr>
                      <w:rFonts w:ascii="Arial" w:hAnsi="Arial" w:cs="Arial"/>
                      <w:b/>
                      <w:bCs/>
                    </w:rPr>
                  </w:pPr>
                  <w:r w:rsidRPr="004C27B1">
                    <w:rPr>
                      <w:rFonts w:ascii="Arial" w:hAnsi="Arial" w:cs="Arial"/>
                      <w:b/>
                      <w:bCs/>
                    </w:rPr>
                    <w:t>Impact on Recolonising bare ground</w:t>
                  </w:r>
                </w:p>
              </w:tc>
              <w:tc>
                <w:tcPr>
                  <w:tcW w:w="3740" w:type="dxa"/>
                </w:tcPr>
                <w:p w14:paraId="0DBD68D4" w14:textId="4B565940" w:rsidR="00E01B43" w:rsidRPr="004C27B1" w:rsidRDefault="004B2329" w:rsidP="00E01B43">
                  <w:pPr>
                    <w:jc w:val="both"/>
                    <w:rPr>
                      <w:rFonts w:ascii="Arial" w:hAnsi="Arial" w:cs="Arial"/>
                    </w:rPr>
                  </w:pPr>
                  <w:r w:rsidRPr="004C27B1">
                    <w:rPr>
                      <w:rFonts w:ascii="Arial" w:hAnsi="Arial" w:cs="Arial"/>
                    </w:rPr>
                    <w:t>Minor habitat loss</w:t>
                  </w:r>
                  <w:r w:rsidR="00AB3E3F" w:rsidRPr="004C27B1">
                    <w:rPr>
                      <w:rFonts w:ascii="Arial" w:hAnsi="Arial" w:cs="Arial"/>
                    </w:rPr>
                    <w:t xml:space="preserve"> </w:t>
                  </w:r>
                  <w:r w:rsidR="000D58C0" w:rsidRPr="004C27B1">
                    <w:rPr>
                      <w:rFonts w:ascii="Arial" w:hAnsi="Arial" w:cs="Arial"/>
                    </w:rPr>
                    <w:t>- Site significance only</w:t>
                  </w:r>
                </w:p>
              </w:tc>
              <w:tc>
                <w:tcPr>
                  <w:tcW w:w="1860" w:type="dxa"/>
                </w:tcPr>
                <w:p w14:paraId="366B479C" w14:textId="339B61DB" w:rsidR="00E01B43" w:rsidRPr="004C27B1" w:rsidRDefault="003655AD" w:rsidP="00E01B43">
                  <w:pPr>
                    <w:jc w:val="both"/>
                    <w:rPr>
                      <w:rFonts w:ascii="Arial" w:hAnsi="Arial" w:cs="Arial"/>
                    </w:rPr>
                  </w:pPr>
                  <w:r w:rsidRPr="004C27B1">
                    <w:rPr>
                      <w:rFonts w:ascii="Arial" w:hAnsi="Arial" w:cs="Arial"/>
                    </w:rPr>
                    <w:t xml:space="preserve">No </w:t>
                  </w:r>
                  <w:r w:rsidR="00AF105A" w:rsidRPr="004C27B1">
                    <w:rPr>
                      <w:rFonts w:ascii="Arial" w:hAnsi="Arial" w:cs="Arial"/>
                    </w:rPr>
                    <w:t>N</w:t>
                  </w:r>
                  <w:r w:rsidRPr="004C27B1">
                    <w:rPr>
                      <w:rFonts w:ascii="Arial" w:hAnsi="Arial" w:cs="Arial"/>
                    </w:rPr>
                    <w:t xml:space="preserve">egative </w:t>
                  </w:r>
                  <w:r w:rsidR="00AF105A" w:rsidRPr="004C27B1">
                    <w:rPr>
                      <w:rFonts w:ascii="Arial" w:hAnsi="Arial" w:cs="Arial"/>
                    </w:rPr>
                    <w:t>E</w:t>
                  </w:r>
                  <w:r w:rsidRPr="004C27B1">
                    <w:rPr>
                      <w:rFonts w:ascii="Arial" w:hAnsi="Arial" w:cs="Arial"/>
                    </w:rPr>
                    <w:t>ffects</w:t>
                  </w:r>
                </w:p>
              </w:tc>
              <w:tc>
                <w:tcPr>
                  <w:tcW w:w="2235" w:type="dxa"/>
                </w:tcPr>
                <w:p w14:paraId="4CA70729" w14:textId="4AAAC437" w:rsidR="00E01B43" w:rsidRPr="004C27B1" w:rsidRDefault="00AF105A" w:rsidP="00E01B43">
                  <w:pPr>
                    <w:jc w:val="both"/>
                    <w:rPr>
                      <w:rFonts w:ascii="Arial" w:hAnsi="Arial" w:cs="Arial"/>
                    </w:rPr>
                  </w:pPr>
                  <w:r w:rsidRPr="004C27B1">
                    <w:rPr>
                      <w:rFonts w:ascii="Arial" w:hAnsi="Arial" w:cs="Arial"/>
                    </w:rPr>
                    <w:t>Minor habitat loss - Site significance only</w:t>
                  </w:r>
                </w:p>
              </w:tc>
            </w:tr>
            <w:tr w:rsidR="006707CC" w:rsidRPr="004C27B1" w14:paraId="0E015939" w14:textId="77777777" w:rsidTr="0051151D">
              <w:tc>
                <w:tcPr>
                  <w:tcW w:w="955" w:type="dxa"/>
                </w:tcPr>
                <w:p w14:paraId="79D3B152" w14:textId="77777777" w:rsidR="006C1410" w:rsidRPr="004C27B1" w:rsidRDefault="006C1410" w:rsidP="006C1410">
                  <w:pPr>
                    <w:jc w:val="both"/>
                    <w:rPr>
                      <w:rFonts w:ascii="Arial" w:hAnsi="Arial" w:cs="Arial"/>
                      <w:b/>
                      <w:bCs/>
                    </w:rPr>
                  </w:pPr>
                  <w:r w:rsidRPr="004C27B1">
                    <w:rPr>
                      <w:rFonts w:ascii="Arial" w:hAnsi="Arial" w:cs="Arial"/>
                      <w:b/>
                      <w:bCs/>
                    </w:rPr>
                    <w:t>Impacts on Dry meadows and grassy verges</w:t>
                  </w:r>
                </w:p>
              </w:tc>
              <w:tc>
                <w:tcPr>
                  <w:tcW w:w="3740" w:type="dxa"/>
                </w:tcPr>
                <w:p w14:paraId="4946939F" w14:textId="594D8626" w:rsidR="006C1410" w:rsidRPr="004C27B1" w:rsidRDefault="006C1410" w:rsidP="006C1410">
                  <w:pPr>
                    <w:jc w:val="both"/>
                    <w:rPr>
                      <w:rFonts w:ascii="Arial" w:hAnsi="Arial" w:cs="Arial"/>
                    </w:rPr>
                  </w:pPr>
                  <w:r w:rsidRPr="004C27B1">
                    <w:rPr>
                      <w:rFonts w:ascii="Arial" w:hAnsi="Arial" w:cs="Arial"/>
                    </w:rPr>
                    <w:t>Minor loss of small areas of grassy verges - Site significance only</w:t>
                  </w:r>
                </w:p>
              </w:tc>
              <w:tc>
                <w:tcPr>
                  <w:tcW w:w="1860" w:type="dxa"/>
                </w:tcPr>
                <w:p w14:paraId="339A05EA" w14:textId="387883BD" w:rsidR="006C1410" w:rsidRPr="004C27B1" w:rsidRDefault="006C1410" w:rsidP="006C1410">
                  <w:pPr>
                    <w:jc w:val="both"/>
                    <w:rPr>
                      <w:rFonts w:ascii="Arial" w:hAnsi="Arial" w:cs="Arial"/>
                    </w:rPr>
                  </w:pPr>
                  <w:r w:rsidRPr="004C27B1">
                    <w:rPr>
                      <w:rFonts w:ascii="Arial" w:hAnsi="Arial" w:cs="Arial"/>
                    </w:rPr>
                    <w:t>No Negative Effects</w:t>
                  </w:r>
                </w:p>
              </w:tc>
              <w:tc>
                <w:tcPr>
                  <w:tcW w:w="2235" w:type="dxa"/>
                </w:tcPr>
                <w:p w14:paraId="36E1C2F7" w14:textId="597DD35D" w:rsidR="006C1410" w:rsidRPr="004C27B1" w:rsidRDefault="006C1410" w:rsidP="006C1410">
                  <w:pPr>
                    <w:jc w:val="both"/>
                    <w:rPr>
                      <w:rFonts w:ascii="Arial" w:hAnsi="Arial" w:cs="Arial"/>
                    </w:rPr>
                  </w:pPr>
                  <w:r w:rsidRPr="004C27B1">
                    <w:rPr>
                      <w:rFonts w:ascii="Arial" w:hAnsi="Arial" w:cs="Arial"/>
                    </w:rPr>
                    <w:t>Minor loss of small areas of grassy verges - Site significance only</w:t>
                  </w:r>
                </w:p>
              </w:tc>
            </w:tr>
            <w:tr w:rsidR="006707CC" w:rsidRPr="004C27B1" w14:paraId="20F4BEEE" w14:textId="77777777" w:rsidTr="0051151D">
              <w:tc>
                <w:tcPr>
                  <w:tcW w:w="955" w:type="dxa"/>
                </w:tcPr>
                <w:p w14:paraId="64C88ADD" w14:textId="77777777" w:rsidR="006C1410" w:rsidRPr="004C27B1" w:rsidRDefault="006C1410" w:rsidP="006C1410">
                  <w:pPr>
                    <w:jc w:val="both"/>
                    <w:rPr>
                      <w:rFonts w:ascii="Arial" w:hAnsi="Arial" w:cs="Arial"/>
                      <w:b/>
                      <w:bCs/>
                    </w:rPr>
                  </w:pPr>
                  <w:r w:rsidRPr="004C27B1">
                    <w:rPr>
                      <w:rFonts w:ascii="Arial" w:hAnsi="Arial" w:cs="Arial"/>
                      <w:b/>
                      <w:bCs/>
                    </w:rPr>
                    <w:t>Impacts on Treelines</w:t>
                  </w:r>
                </w:p>
              </w:tc>
              <w:tc>
                <w:tcPr>
                  <w:tcW w:w="3740" w:type="dxa"/>
                </w:tcPr>
                <w:p w14:paraId="7C843219" w14:textId="07E37F31" w:rsidR="006C1410" w:rsidRPr="004C27B1" w:rsidRDefault="00EC685D" w:rsidP="006C1410">
                  <w:pPr>
                    <w:jc w:val="both"/>
                    <w:rPr>
                      <w:rFonts w:ascii="Arial" w:hAnsi="Arial" w:cs="Arial"/>
                    </w:rPr>
                  </w:pPr>
                  <w:r w:rsidRPr="004C27B1">
                    <w:rPr>
                      <w:rFonts w:ascii="Arial" w:hAnsi="Arial" w:cs="Arial"/>
                    </w:rPr>
                    <w:t xml:space="preserve">No loss of treelines – No Impact </w:t>
                  </w:r>
                </w:p>
              </w:tc>
              <w:tc>
                <w:tcPr>
                  <w:tcW w:w="1860" w:type="dxa"/>
                </w:tcPr>
                <w:p w14:paraId="7682E5E9" w14:textId="31D3B8AF" w:rsidR="006C1410" w:rsidRPr="004C27B1" w:rsidRDefault="00EC685D" w:rsidP="006C1410">
                  <w:pPr>
                    <w:jc w:val="both"/>
                    <w:rPr>
                      <w:rFonts w:ascii="Arial" w:hAnsi="Arial" w:cs="Arial"/>
                    </w:rPr>
                  </w:pPr>
                  <w:r w:rsidRPr="004C27B1">
                    <w:rPr>
                      <w:rFonts w:ascii="Arial" w:hAnsi="Arial" w:cs="Arial"/>
                    </w:rPr>
                    <w:t>No loss of treelines – No Impact</w:t>
                  </w:r>
                </w:p>
              </w:tc>
              <w:tc>
                <w:tcPr>
                  <w:tcW w:w="2235" w:type="dxa"/>
                </w:tcPr>
                <w:p w14:paraId="16BB0D2A" w14:textId="2260D550" w:rsidR="006C1410" w:rsidRPr="004C27B1" w:rsidRDefault="00EC685D" w:rsidP="006C1410">
                  <w:pPr>
                    <w:jc w:val="both"/>
                    <w:rPr>
                      <w:rFonts w:ascii="Arial" w:hAnsi="Arial" w:cs="Arial"/>
                    </w:rPr>
                  </w:pPr>
                  <w:r w:rsidRPr="004C27B1">
                    <w:rPr>
                      <w:rFonts w:ascii="Arial" w:hAnsi="Arial" w:cs="Arial"/>
                    </w:rPr>
                    <w:t>No loss of treelines – No Impact</w:t>
                  </w:r>
                </w:p>
              </w:tc>
            </w:tr>
            <w:tr w:rsidR="006707CC" w:rsidRPr="004C27B1" w14:paraId="5AF93512" w14:textId="77777777" w:rsidTr="0051151D">
              <w:tc>
                <w:tcPr>
                  <w:tcW w:w="955" w:type="dxa"/>
                </w:tcPr>
                <w:p w14:paraId="684D6C8D" w14:textId="77777777" w:rsidR="006C1410" w:rsidRPr="004C27B1" w:rsidRDefault="006C1410" w:rsidP="006C1410">
                  <w:pPr>
                    <w:jc w:val="both"/>
                    <w:rPr>
                      <w:rFonts w:ascii="Arial" w:hAnsi="Arial" w:cs="Arial"/>
                      <w:b/>
                      <w:bCs/>
                    </w:rPr>
                  </w:pPr>
                  <w:r w:rsidRPr="004C27B1">
                    <w:rPr>
                      <w:rFonts w:ascii="Arial" w:hAnsi="Arial" w:cs="Arial"/>
                      <w:b/>
                      <w:bCs/>
                    </w:rPr>
                    <w:t>Impacts on Scrub</w:t>
                  </w:r>
                </w:p>
              </w:tc>
              <w:tc>
                <w:tcPr>
                  <w:tcW w:w="3740" w:type="dxa"/>
                </w:tcPr>
                <w:p w14:paraId="7D4A50FC" w14:textId="64130892" w:rsidR="006C1410" w:rsidRPr="004C27B1" w:rsidRDefault="004C5A9F" w:rsidP="006C1410">
                  <w:pPr>
                    <w:jc w:val="both"/>
                    <w:rPr>
                      <w:rFonts w:ascii="Arial" w:hAnsi="Arial" w:cs="Arial"/>
                    </w:rPr>
                  </w:pPr>
                  <w:r w:rsidRPr="004C27B1">
                    <w:rPr>
                      <w:rFonts w:ascii="Arial" w:hAnsi="Arial" w:cs="Arial"/>
                    </w:rPr>
                    <w:t>No loss of scrub – No Impact</w:t>
                  </w:r>
                </w:p>
              </w:tc>
              <w:tc>
                <w:tcPr>
                  <w:tcW w:w="1860" w:type="dxa"/>
                </w:tcPr>
                <w:p w14:paraId="2711C5BD" w14:textId="792D4B4B" w:rsidR="006C1410" w:rsidRPr="004C27B1" w:rsidRDefault="004C5A9F" w:rsidP="006C1410">
                  <w:pPr>
                    <w:jc w:val="both"/>
                    <w:rPr>
                      <w:rFonts w:ascii="Arial" w:hAnsi="Arial" w:cs="Arial"/>
                    </w:rPr>
                  </w:pPr>
                  <w:r w:rsidRPr="004C27B1">
                    <w:rPr>
                      <w:rFonts w:ascii="Arial" w:hAnsi="Arial" w:cs="Arial"/>
                    </w:rPr>
                    <w:t>No loss of scrub – No Impact</w:t>
                  </w:r>
                </w:p>
              </w:tc>
              <w:tc>
                <w:tcPr>
                  <w:tcW w:w="2235" w:type="dxa"/>
                </w:tcPr>
                <w:p w14:paraId="6FDBB69A" w14:textId="59AE6FA2" w:rsidR="006C1410" w:rsidRPr="004C27B1" w:rsidRDefault="004C5A9F" w:rsidP="006C1410">
                  <w:pPr>
                    <w:jc w:val="both"/>
                    <w:rPr>
                      <w:rFonts w:ascii="Arial" w:hAnsi="Arial" w:cs="Arial"/>
                    </w:rPr>
                  </w:pPr>
                  <w:r w:rsidRPr="004C27B1">
                    <w:rPr>
                      <w:rFonts w:ascii="Arial" w:hAnsi="Arial" w:cs="Arial"/>
                    </w:rPr>
                    <w:t>No loss of scrub – No Impact</w:t>
                  </w:r>
                </w:p>
              </w:tc>
            </w:tr>
            <w:tr w:rsidR="006707CC" w:rsidRPr="004C27B1" w14:paraId="678D2A45" w14:textId="77777777" w:rsidTr="0051151D">
              <w:tc>
                <w:tcPr>
                  <w:tcW w:w="955" w:type="dxa"/>
                </w:tcPr>
                <w:p w14:paraId="2575C896" w14:textId="77777777" w:rsidR="006C1410" w:rsidRPr="004C27B1" w:rsidRDefault="006C1410" w:rsidP="006C1410">
                  <w:pPr>
                    <w:jc w:val="both"/>
                    <w:rPr>
                      <w:rFonts w:ascii="Arial" w:hAnsi="Arial" w:cs="Arial"/>
                      <w:b/>
                      <w:bCs/>
                    </w:rPr>
                  </w:pPr>
                  <w:r w:rsidRPr="004C27B1">
                    <w:rPr>
                      <w:rFonts w:ascii="Arial" w:hAnsi="Arial" w:cs="Arial"/>
                      <w:b/>
                      <w:bCs/>
                    </w:rPr>
                    <w:lastRenderedPageBreak/>
                    <w:t>Impacts on Sea inlets and bays</w:t>
                  </w:r>
                </w:p>
              </w:tc>
              <w:tc>
                <w:tcPr>
                  <w:tcW w:w="3740" w:type="dxa"/>
                </w:tcPr>
                <w:p w14:paraId="329CDC30" w14:textId="52288ADE" w:rsidR="006C1410" w:rsidRPr="004C27B1" w:rsidRDefault="004C5A9F" w:rsidP="006C1410">
                  <w:pPr>
                    <w:jc w:val="both"/>
                    <w:rPr>
                      <w:rFonts w:ascii="Arial" w:hAnsi="Arial" w:cs="Arial"/>
                    </w:rPr>
                  </w:pPr>
                  <w:r w:rsidRPr="004C27B1">
                    <w:rPr>
                      <w:rFonts w:ascii="Arial" w:hAnsi="Arial" w:cs="Arial"/>
                    </w:rPr>
                    <w:t>Waterborne Pollution - No Effect</w:t>
                  </w:r>
                </w:p>
              </w:tc>
              <w:tc>
                <w:tcPr>
                  <w:tcW w:w="1860" w:type="dxa"/>
                </w:tcPr>
                <w:p w14:paraId="46B7F208" w14:textId="78BA5D72" w:rsidR="006C1410" w:rsidRPr="004C27B1" w:rsidRDefault="004C5A9F" w:rsidP="006C1410">
                  <w:pPr>
                    <w:jc w:val="both"/>
                    <w:rPr>
                      <w:rFonts w:ascii="Arial" w:hAnsi="Arial" w:cs="Arial"/>
                    </w:rPr>
                  </w:pPr>
                  <w:r w:rsidRPr="004C27B1">
                    <w:rPr>
                      <w:rFonts w:ascii="Arial" w:hAnsi="Arial" w:cs="Arial"/>
                    </w:rPr>
                    <w:t>Waterborne Pollution - Negligible Impact</w:t>
                  </w:r>
                </w:p>
              </w:tc>
              <w:tc>
                <w:tcPr>
                  <w:tcW w:w="2235" w:type="dxa"/>
                </w:tcPr>
                <w:p w14:paraId="19CCF985" w14:textId="014FD0FF" w:rsidR="006C1410" w:rsidRPr="004C27B1" w:rsidRDefault="008C17EC" w:rsidP="006C1410">
                  <w:pPr>
                    <w:jc w:val="both"/>
                    <w:rPr>
                      <w:rFonts w:ascii="Arial" w:hAnsi="Arial" w:cs="Arial"/>
                    </w:rPr>
                  </w:pPr>
                  <w:r w:rsidRPr="004C27B1">
                    <w:rPr>
                      <w:rFonts w:ascii="Arial" w:hAnsi="Arial" w:cs="Arial"/>
                    </w:rPr>
                    <w:t>Negligible Effect</w:t>
                  </w:r>
                </w:p>
              </w:tc>
            </w:tr>
            <w:tr w:rsidR="006707CC" w:rsidRPr="004C27B1" w14:paraId="688D169C" w14:textId="77777777" w:rsidTr="0051151D">
              <w:tc>
                <w:tcPr>
                  <w:tcW w:w="955" w:type="dxa"/>
                </w:tcPr>
                <w:p w14:paraId="2D9B99CB" w14:textId="77777777" w:rsidR="006C1410" w:rsidRPr="004C27B1" w:rsidRDefault="006C1410" w:rsidP="006C1410">
                  <w:pPr>
                    <w:jc w:val="both"/>
                    <w:rPr>
                      <w:rFonts w:ascii="Arial" w:hAnsi="Arial" w:cs="Arial"/>
                      <w:b/>
                      <w:bCs/>
                    </w:rPr>
                  </w:pPr>
                  <w:r w:rsidRPr="004C27B1">
                    <w:rPr>
                      <w:rFonts w:ascii="Arial" w:hAnsi="Arial" w:cs="Arial"/>
                      <w:b/>
                      <w:bCs/>
                    </w:rPr>
                    <w:t>Impacts on Bee Orchid</w:t>
                  </w:r>
                </w:p>
              </w:tc>
              <w:tc>
                <w:tcPr>
                  <w:tcW w:w="3740" w:type="dxa"/>
                </w:tcPr>
                <w:p w14:paraId="4567DCD5" w14:textId="128C5620" w:rsidR="006C1410" w:rsidRPr="004C27B1" w:rsidRDefault="00DB7064" w:rsidP="006C1410">
                  <w:pPr>
                    <w:jc w:val="both"/>
                    <w:rPr>
                      <w:rFonts w:ascii="Arial" w:hAnsi="Arial" w:cs="Arial"/>
                    </w:rPr>
                  </w:pPr>
                  <w:r w:rsidRPr="004C27B1">
                    <w:rPr>
                      <w:rFonts w:ascii="Arial" w:hAnsi="Arial" w:cs="Arial"/>
                    </w:rPr>
                    <w:t>No Bee Orchid on site - No Effect</w:t>
                  </w:r>
                </w:p>
              </w:tc>
              <w:tc>
                <w:tcPr>
                  <w:tcW w:w="1860" w:type="dxa"/>
                </w:tcPr>
                <w:p w14:paraId="3C8FBA49" w14:textId="334BDD75" w:rsidR="006C1410" w:rsidRPr="004C27B1" w:rsidRDefault="00DB7064" w:rsidP="006C1410">
                  <w:pPr>
                    <w:jc w:val="both"/>
                    <w:rPr>
                      <w:rFonts w:ascii="Arial" w:hAnsi="Arial" w:cs="Arial"/>
                    </w:rPr>
                  </w:pPr>
                  <w:r w:rsidRPr="004C27B1">
                    <w:rPr>
                      <w:rFonts w:ascii="Arial" w:hAnsi="Arial" w:cs="Arial"/>
                    </w:rPr>
                    <w:t>No Bee Orchid on site - No Effect</w:t>
                  </w:r>
                </w:p>
              </w:tc>
              <w:tc>
                <w:tcPr>
                  <w:tcW w:w="2235" w:type="dxa"/>
                </w:tcPr>
                <w:p w14:paraId="70EA535D" w14:textId="007B964B" w:rsidR="006C1410" w:rsidRPr="004C27B1" w:rsidRDefault="00DB7064" w:rsidP="006C1410">
                  <w:pPr>
                    <w:jc w:val="both"/>
                    <w:rPr>
                      <w:rFonts w:ascii="Arial" w:hAnsi="Arial" w:cs="Arial"/>
                    </w:rPr>
                  </w:pPr>
                  <w:r w:rsidRPr="004C27B1">
                    <w:rPr>
                      <w:rFonts w:ascii="Arial" w:hAnsi="Arial" w:cs="Arial"/>
                    </w:rPr>
                    <w:t>No Bee Orchid on site - No Effect</w:t>
                  </w:r>
                </w:p>
              </w:tc>
            </w:tr>
            <w:tr w:rsidR="006707CC" w:rsidRPr="004C27B1" w14:paraId="4514696F" w14:textId="77777777" w:rsidTr="0051151D">
              <w:tc>
                <w:tcPr>
                  <w:tcW w:w="955" w:type="dxa"/>
                </w:tcPr>
                <w:p w14:paraId="07A95A62" w14:textId="77777777" w:rsidR="006C1410" w:rsidRPr="004C27B1" w:rsidRDefault="006C1410" w:rsidP="006C1410">
                  <w:pPr>
                    <w:jc w:val="both"/>
                    <w:rPr>
                      <w:rFonts w:ascii="Arial" w:hAnsi="Arial" w:cs="Arial"/>
                      <w:b/>
                      <w:bCs/>
                    </w:rPr>
                  </w:pPr>
                  <w:r w:rsidRPr="004C27B1">
                    <w:rPr>
                      <w:rFonts w:ascii="Arial" w:hAnsi="Arial" w:cs="Arial"/>
                      <w:b/>
                      <w:bCs/>
                    </w:rPr>
                    <w:t>Impacts on Bats</w:t>
                  </w:r>
                </w:p>
              </w:tc>
              <w:tc>
                <w:tcPr>
                  <w:tcW w:w="3740" w:type="dxa"/>
                </w:tcPr>
                <w:p w14:paraId="06FD10CF" w14:textId="2A3C9332" w:rsidR="006C1410" w:rsidRPr="004C27B1" w:rsidRDefault="00727CB3" w:rsidP="006C1410">
                  <w:pPr>
                    <w:jc w:val="both"/>
                    <w:rPr>
                      <w:rFonts w:ascii="Arial" w:hAnsi="Arial" w:cs="Arial"/>
                    </w:rPr>
                  </w:pPr>
                  <w:r w:rsidRPr="004C27B1">
                    <w:rPr>
                      <w:rFonts w:ascii="Arial" w:hAnsi="Arial" w:cs="Arial"/>
                    </w:rPr>
                    <w:t>Habitat Loss</w:t>
                  </w:r>
                  <w:r w:rsidR="00A20FC7" w:rsidRPr="004C27B1">
                    <w:rPr>
                      <w:rFonts w:ascii="Arial" w:hAnsi="Arial" w:cs="Arial"/>
                    </w:rPr>
                    <w:t>,</w:t>
                  </w:r>
                  <w:r w:rsidR="00B96D17" w:rsidRPr="004C27B1">
                    <w:rPr>
                      <w:rFonts w:ascii="Arial" w:hAnsi="Arial" w:cs="Arial"/>
                    </w:rPr>
                    <w:t xml:space="preserve"> Disturbance</w:t>
                  </w:r>
                  <w:r w:rsidR="00A20FC7" w:rsidRPr="004C27B1">
                    <w:rPr>
                      <w:rFonts w:ascii="Arial" w:hAnsi="Arial" w:cs="Arial"/>
                    </w:rPr>
                    <w:t xml:space="preserve"> &amp;</w:t>
                  </w:r>
                  <w:r w:rsidR="00B96D17" w:rsidRPr="004C27B1">
                    <w:rPr>
                      <w:rFonts w:ascii="Arial" w:hAnsi="Arial" w:cs="Arial"/>
                    </w:rPr>
                    <w:t xml:space="preserve"> Displacement</w:t>
                  </w:r>
                  <w:r w:rsidRPr="004C27B1">
                    <w:rPr>
                      <w:rFonts w:ascii="Arial" w:hAnsi="Arial" w:cs="Arial"/>
                    </w:rPr>
                    <w:t xml:space="preserve"> - </w:t>
                  </w:r>
                  <w:r w:rsidR="00910149" w:rsidRPr="004C27B1">
                    <w:rPr>
                      <w:rFonts w:ascii="Arial" w:hAnsi="Arial" w:cs="Arial"/>
                    </w:rPr>
                    <w:t>Negligible Effect</w:t>
                  </w:r>
                  <w:r w:rsidRPr="004C27B1">
                    <w:rPr>
                      <w:rFonts w:ascii="Arial" w:hAnsi="Arial" w:cs="Arial"/>
                    </w:rPr>
                    <w:t xml:space="preserve">, Damage or Destruction of Roosts </w:t>
                  </w:r>
                  <w:r w:rsidR="00C6709C" w:rsidRPr="004C27B1">
                    <w:rPr>
                      <w:rFonts w:ascii="Arial" w:hAnsi="Arial" w:cs="Arial"/>
                    </w:rPr>
                    <w:t xml:space="preserve">and Injury and </w:t>
                  </w:r>
                  <w:r w:rsidR="008077D2" w:rsidRPr="004C27B1">
                    <w:rPr>
                      <w:rFonts w:ascii="Arial" w:hAnsi="Arial" w:cs="Arial"/>
                    </w:rPr>
                    <w:t>Mortality</w:t>
                  </w:r>
                  <w:r w:rsidR="00C6709C" w:rsidRPr="004C27B1">
                    <w:rPr>
                      <w:rFonts w:ascii="Arial" w:hAnsi="Arial" w:cs="Arial"/>
                    </w:rPr>
                    <w:t xml:space="preserve"> </w:t>
                  </w:r>
                  <w:r w:rsidR="00B96D17" w:rsidRPr="004C27B1">
                    <w:rPr>
                      <w:rFonts w:ascii="Arial" w:hAnsi="Arial" w:cs="Arial"/>
                    </w:rPr>
                    <w:t xml:space="preserve">- </w:t>
                  </w:r>
                  <w:r w:rsidR="0052208C" w:rsidRPr="004C27B1">
                    <w:rPr>
                      <w:rFonts w:ascii="Arial" w:hAnsi="Arial" w:cs="Arial"/>
                    </w:rPr>
                    <w:t>No Effect</w:t>
                  </w:r>
                </w:p>
              </w:tc>
              <w:tc>
                <w:tcPr>
                  <w:tcW w:w="1860" w:type="dxa"/>
                </w:tcPr>
                <w:p w14:paraId="357A994F" w14:textId="7941B517" w:rsidR="006C1410" w:rsidRPr="004C27B1" w:rsidRDefault="008077D2" w:rsidP="006C1410">
                  <w:pPr>
                    <w:jc w:val="both"/>
                    <w:rPr>
                      <w:rFonts w:ascii="Arial" w:hAnsi="Arial" w:cs="Arial"/>
                    </w:rPr>
                  </w:pPr>
                  <w:r w:rsidRPr="004C27B1">
                    <w:rPr>
                      <w:rFonts w:ascii="Arial" w:hAnsi="Arial" w:cs="Arial"/>
                    </w:rPr>
                    <w:t xml:space="preserve">Disturbance - </w:t>
                  </w:r>
                  <w:r w:rsidR="00EA5CC8" w:rsidRPr="004C27B1">
                    <w:rPr>
                      <w:rFonts w:ascii="Arial" w:hAnsi="Arial" w:cs="Arial"/>
                    </w:rPr>
                    <w:t>No Effects</w:t>
                  </w:r>
                  <w:r w:rsidRPr="004C27B1">
                    <w:rPr>
                      <w:rFonts w:ascii="Arial" w:hAnsi="Arial" w:cs="Arial"/>
                    </w:rPr>
                    <w:t>,</w:t>
                  </w:r>
                  <w:r w:rsidR="008565BD" w:rsidRPr="004C27B1">
                    <w:rPr>
                      <w:rFonts w:ascii="Arial" w:hAnsi="Arial" w:cs="Arial"/>
                    </w:rPr>
                    <w:t xml:space="preserve"> Displacement -</w:t>
                  </w:r>
                  <w:r w:rsidRPr="004C27B1">
                    <w:rPr>
                      <w:rFonts w:ascii="Arial" w:hAnsi="Arial" w:cs="Arial"/>
                    </w:rPr>
                    <w:t xml:space="preserve"> </w:t>
                  </w:r>
                  <w:r w:rsidR="006A5E8C" w:rsidRPr="004C27B1">
                    <w:rPr>
                      <w:rFonts w:ascii="Arial" w:hAnsi="Arial" w:cs="Arial"/>
                    </w:rPr>
                    <w:t>Negligible Effect</w:t>
                  </w:r>
                </w:p>
              </w:tc>
              <w:tc>
                <w:tcPr>
                  <w:tcW w:w="2235" w:type="dxa"/>
                </w:tcPr>
                <w:p w14:paraId="3B5849CF" w14:textId="23621083" w:rsidR="006C1410" w:rsidRPr="004C27B1" w:rsidRDefault="00AD7F5C" w:rsidP="006C1410">
                  <w:pPr>
                    <w:jc w:val="both"/>
                    <w:rPr>
                      <w:rFonts w:ascii="Arial" w:hAnsi="Arial" w:cs="Arial"/>
                    </w:rPr>
                  </w:pPr>
                  <w:r w:rsidRPr="004C27B1">
                    <w:rPr>
                      <w:rFonts w:ascii="Arial" w:hAnsi="Arial" w:cs="Arial"/>
                    </w:rPr>
                    <w:t>Negligible</w:t>
                  </w:r>
                  <w:r w:rsidR="00910149" w:rsidRPr="004C27B1">
                    <w:rPr>
                      <w:rFonts w:ascii="Arial" w:hAnsi="Arial" w:cs="Arial"/>
                    </w:rPr>
                    <w:t xml:space="preserve"> Effect</w:t>
                  </w:r>
                </w:p>
              </w:tc>
            </w:tr>
            <w:tr w:rsidR="006707CC" w:rsidRPr="004C27B1" w14:paraId="3042BB9A" w14:textId="77777777" w:rsidTr="0051151D">
              <w:tc>
                <w:tcPr>
                  <w:tcW w:w="955" w:type="dxa"/>
                </w:tcPr>
                <w:p w14:paraId="3B1D9BFE" w14:textId="77777777" w:rsidR="006C1410" w:rsidRPr="004C27B1" w:rsidRDefault="006C1410" w:rsidP="006C1410">
                  <w:pPr>
                    <w:jc w:val="both"/>
                    <w:rPr>
                      <w:rFonts w:ascii="Arial" w:hAnsi="Arial" w:cs="Arial"/>
                      <w:b/>
                      <w:bCs/>
                    </w:rPr>
                  </w:pPr>
                  <w:r w:rsidRPr="004C27B1">
                    <w:rPr>
                      <w:rFonts w:ascii="Arial" w:hAnsi="Arial" w:cs="Arial"/>
                      <w:b/>
                      <w:bCs/>
                    </w:rPr>
                    <w:t>Impacts on Badger</w:t>
                  </w:r>
                </w:p>
              </w:tc>
              <w:tc>
                <w:tcPr>
                  <w:tcW w:w="3740" w:type="dxa"/>
                </w:tcPr>
                <w:p w14:paraId="3D798FB3" w14:textId="04AADE1E" w:rsidR="006C1410" w:rsidRPr="004C27B1" w:rsidRDefault="007D3941" w:rsidP="006C1410">
                  <w:pPr>
                    <w:jc w:val="both"/>
                    <w:rPr>
                      <w:rFonts w:ascii="Arial" w:hAnsi="Arial" w:cs="Arial"/>
                    </w:rPr>
                  </w:pPr>
                  <w:r w:rsidRPr="004C27B1">
                    <w:rPr>
                      <w:rFonts w:ascii="Arial" w:hAnsi="Arial" w:cs="Arial"/>
                    </w:rPr>
                    <w:t>Habitat Loss</w:t>
                  </w:r>
                  <w:r w:rsidR="006A5E8C" w:rsidRPr="004C27B1">
                    <w:rPr>
                      <w:rFonts w:ascii="Arial" w:hAnsi="Arial" w:cs="Arial"/>
                    </w:rPr>
                    <w:t xml:space="preserve"> – No Effect</w:t>
                  </w:r>
                  <w:r w:rsidRPr="004C27B1">
                    <w:rPr>
                      <w:rFonts w:ascii="Arial" w:hAnsi="Arial" w:cs="Arial"/>
                    </w:rPr>
                    <w:t xml:space="preserve">, </w:t>
                  </w:r>
                </w:p>
                <w:p w14:paraId="79F642DA" w14:textId="74660D38" w:rsidR="00AD7F5C" w:rsidRPr="004C27B1" w:rsidRDefault="00AD7F5C" w:rsidP="006C1410">
                  <w:pPr>
                    <w:jc w:val="both"/>
                    <w:rPr>
                      <w:rFonts w:ascii="Arial" w:hAnsi="Arial" w:cs="Arial"/>
                    </w:rPr>
                  </w:pPr>
                  <w:r w:rsidRPr="004C27B1">
                    <w:rPr>
                      <w:rFonts w:ascii="Arial" w:hAnsi="Arial" w:cs="Arial"/>
                    </w:rPr>
                    <w:t>Disturbance, Displacement, Injury or Mortality</w:t>
                  </w:r>
                  <w:r w:rsidR="007D3941" w:rsidRPr="004C27B1">
                    <w:rPr>
                      <w:rFonts w:ascii="Arial" w:hAnsi="Arial" w:cs="Arial"/>
                    </w:rPr>
                    <w:t xml:space="preserve"> - Negligible Effect</w:t>
                  </w:r>
                </w:p>
              </w:tc>
              <w:tc>
                <w:tcPr>
                  <w:tcW w:w="1860" w:type="dxa"/>
                </w:tcPr>
                <w:p w14:paraId="776F8E64" w14:textId="162ED6AB" w:rsidR="006C1410" w:rsidRPr="004C27B1" w:rsidRDefault="00662EF1" w:rsidP="006C1410">
                  <w:pPr>
                    <w:jc w:val="both"/>
                    <w:rPr>
                      <w:rFonts w:ascii="Arial" w:hAnsi="Arial" w:cs="Arial"/>
                    </w:rPr>
                  </w:pPr>
                  <w:r w:rsidRPr="004C27B1">
                    <w:rPr>
                      <w:rFonts w:ascii="Arial" w:hAnsi="Arial" w:cs="Arial"/>
                    </w:rPr>
                    <w:t>Disturbance, Injury or Mortality – Negligible Effect</w:t>
                  </w:r>
                </w:p>
              </w:tc>
              <w:tc>
                <w:tcPr>
                  <w:tcW w:w="2235" w:type="dxa"/>
                </w:tcPr>
                <w:p w14:paraId="0DB6936F" w14:textId="349D5346" w:rsidR="006C1410" w:rsidRPr="004C27B1" w:rsidRDefault="004D0A92" w:rsidP="006C1410">
                  <w:pPr>
                    <w:jc w:val="both"/>
                    <w:rPr>
                      <w:rFonts w:ascii="Arial" w:hAnsi="Arial" w:cs="Arial"/>
                    </w:rPr>
                  </w:pPr>
                  <w:r w:rsidRPr="004C27B1">
                    <w:rPr>
                      <w:rFonts w:ascii="Arial" w:hAnsi="Arial" w:cs="Arial"/>
                    </w:rPr>
                    <w:t>Negligible Effect</w:t>
                  </w:r>
                </w:p>
              </w:tc>
            </w:tr>
            <w:tr w:rsidR="006707CC" w:rsidRPr="004C27B1" w14:paraId="67BD1C5C" w14:textId="77777777" w:rsidTr="0051151D">
              <w:tc>
                <w:tcPr>
                  <w:tcW w:w="955" w:type="dxa"/>
                </w:tcPr>
                <w:p w14:paraId="0B23D838" w14:textId="77777777" w:rsidR="006C1410" w:rsidRPr="004C27B1" w:rsidRDefault="006C1410" w:rsidP="006C1410">
                  <w:pPr>
                    <w:jc w:val="both"/>
                    <w:rPr>
                      <w:rFonts w:ascii="Arial" w:hAnsi="Arial" w:cs="Arial"/>
                      <w:b/>
                      <w:bCs/>
                    </w:rPr>
                  </w:pPr>
                  <w:r w:rsidRPr="004C27B1">
                    <w:rPr>
                      <w:rFonts w:ascii="Arial" w:hAnsi="Arial" w:cs="Arial"/>
                      <w:b/>
                      <w:bCs/>
                    </w:rPr>
                    <w:t>Impacts on Otter</w:t>
                  </w:r>
                </w:p>
              </w:tc>
              <w:tc>
                <w:tcPr>
                  <w:tcW w:w="3740" w:type="dxa"/>
                </w:tcPr>
                <w:p w14:paraId="1B3F6BE4" w14:textId="77777777" w:rsidR="006C1410" w:rsidRPr="004C27B1" w:rsidRDefault="004D0A92" w:rsidP="006C1410">
                  <w:pPr>
                    <w:jc w:val="both"/>
                    <w:rPr>
                      <w:rFonts w:ascii="Arial" w:hAnsi="Arial" w:cs="Arial"/>
                    </w:rPr>
                  </w:pPr>
                  <w:r w:rsidRPr="004C27B1">
                    <w:rPr>
                      <w:rFonts w:ascii="Arial" w:hAnsi="Arial" w:cs="Arial"/>
                    </w:rPr>
                    <w:t>Habitat Loss – No Effect</w:t>
                  </w:r>
                </w:p>
                <w:p w14:paraId="2832723D" w14:textId="32556527" w:rsidR="008B0D2B" w:rsidRPr="004C27B1" w:rsidRDefault="008B0D2B" w:rsidP="006C1410">
                  <w:pPr>
                    <w:jc w:val="both"/>
                    <w:rPr>
                      <w:rFonts w:ascii="Arial" w:hAnsi="Arial" w:cs="Arial"/>
                    </w:rPr>
                  </w:pPr>
                  <w:r w:rsidRPr="004C27B1">
                    <w:rPr>
                      <w:rFonts w:ascii="Arial" w:hAnsi="Arial" w:cs="Arial"/>
                    </w:rPr>
                    <w:t>Disturbance, Displacement, Injury or Mortality - Negligible Effect</w:t>
                  </w:r>
                </w:p>
                <w:p w14:paraId="792A8494" w14:textId="7F760124" w:rsidR="004D0A92" w:rsidRPr="004C27B1" w:rsidRDefault="004D0A92" w:rsidP="006C1410">
                  <w:pPr>
                    <w:jc w:val="both"/>
                    <w:rPr>
                      <w:rFonts w:ascii="Arial" w:hAnsi="Arial" w:cs="Arial"/>
                    </w:rPr>
                  </w:pPr>
                </w:p>
              </w:tc>
              <w:tc>
                <w:tcPr>
                  <w:tcW w:w="1860" w:type="dxa"/>
                </w:tcPr>
                <w:p w14:paraId="6F2D105B" w14:textId="1CF1C29D" w:rsidR="006C1410" w:rsidRPr="004C27B1" w:rsidRDefault="008B0D2B" w:rsidP="006C1410">
                  <w:pPr>
                    <w:jc w:val="both"/>
                    <w:rPr>
                      <w:rFonts w:ascii="Arial" w:hAnsi="Arial" w:cs="Arial"/>
                    </w:rPr>
                  </w:pPr>
                  <w:r w:rsidRPr="004C27B1">
                    <w:rPr>
                      <w:rFonts w:ascii="Arial" w:hAnsi="Arial" w:cs="Arial"/>
                    </w:rPr>
                    <w:t>Disturbance – Negligible Effect</w:t>
                  </w:r>
                </w:p>
              </w:tc>
              <w:tc>
                <w:tcPr>
                  <w:tcW w:w="2235" w:type="dxa"/>
                </w:tcPr>
                <w:p w14:paraId="2ED97729" w14:textId="5730863E" w:rsidR="006C1410" w:rsidRPr="004C27B1" w:rsidRDefault="002A2F96" w:rsidP="006C1410">
                  <w:pPr>
                    <w:jc w:val="both"/>
                    <w:rPr>
                      <w:rFonts w:ascii="Arial" w:hAnsi="Arial" w:cs="Arial"/>
                    </w:rPr>
                  </w:pPr>
                  <w:r w:rsidRPr="004C27B1">
                    <w:rPr>
                      <w:rFonts w:ascii="Arial" w:hAnsi="Arial" w:cs="Arial"/>
                    </w:rPr>
                    <w:t>Negligible Effect</w:t>
                  </w:r>
                </w:p>
              </w:tc>
            </w:tr>
            <w:tr w:rsidR="006707CC" w:rsidRPr="004C27B1" w14:paraId="7B2204B9" w14:textId="77777777" w:rsidTr="0051151D">
              <w:tc>
                <w:tcPr>
                  <w:tcW w:w="955" w:type="dxa"/>
                </w:tcPr>
                <w:p w14:paraId="5CF5E5AA" w14:textId="77777777" w:rsidR="006C1410" w:rsidRPr="004C27B1" w:rsidRDefault="006C1410" w:rsidP="006C1410">
                  <w:pPr>
                    <w:jc w:val="both"/>
                    <w:rPr>
                      <w:rFonts w:ascii="Arial" w:hAnsi="Arial" w:cs="Arial"/>
                      <w:b/>
                      <w:bCs/>
                    </w:rPr>
                  </w:pPr>
                  <w:r w:rsidRPr="004C27B1">
                    <w:rPr>
                      <w:rFonts w:ascii="Arial" w:hAnsi="Arial" w:cs="Arial"/>
                      <w:b/>
                      <w:bCs/>
                    </w:rPr>
                    <w:t>Impacts on Other Protected Mammals</w:t>
                  </w:r>
                </w:p>
              </w:tc>
              <w:tc>
                <w:tcPr>
                  <w:tcW w:w="3740" w:type="dxa"/>
                </w:tcPr>
                <w:p w14:paraId="6F726D53" w14:textId="64E705CE" w:rsidR="00AB4334" w:rsidRPr="004C27B1" w:rsidRDefault="00AB4334" w:rsidP="00AB4334">
                  <w:pPr>
                    <w:jc w:val="both"/>
                    <w:rPr>
                      <w:rFonts w:ascii="Arial" w:hAnsi="Arial" w:cs="Arial"/>
                    </w:rPr>
                  </w:pPr>
                  <w:r w:rsidRPr="004C27B1">
                    <w:rPr>
                      <w:rFonts w:ascii="Arial" w:hAnsi="Arial" w:cs="Arial"/>
                    </w:rPr>
                    <w:t>Habitat Loss –</w:t>
                  </w:r>
                  <w:r w:rsidR="00B50672">
                    <w:rPr>
                      <w:rFonts w:ascii="Arial" w:hAnsi="Arial" w:cs="Arial"/>
                    </w:rPr>
                    <w:t xml:space="preserve"> </w:t>
                  </w:r>
                  <w:r w:rsidRPr="004C27B1">
                    <w:rPr>
                      <w:rFonts w:ascii="Arial" w:hAnsi="Arial" w:cs="Arial"/>
                    </w:rPr>
                    <w:t>Negligible Effect</w:t>
                  </w:r>
                  <w:r w:rsidR="000E069E" w:rsidRPr="004C27B1">
                    <w:rPr>
                      <w:rFonts w:ascii="Arial" w:hAnsi="Arial" w:cs="Arial"/>
                    </w:rPr>
                    <w:t xml:space="preserve">. </w:t>
                  </w:r>
                </w:p>
                <w:p w14:paraId="60788857" w14:textId="14E5DEFC" w:rsidR="006C1410" w:rsidRPr="004C27B1" w:rsidRDefault="000E069E" w:rsidP="006C1410">
                  <w:pPr>
                    <w:jc w:val="both"/>
                    <w:rPr>
                      <w:rFonts w:ascii="Arial" w:hAnsi="Arial" w:cs="Arial"/>
                    </w:rPr>
                  </w:pPr>
                  <w:r w:rsidRPr="004C27B1">
                    <w:rPr>
                      <w:rFonts w:ascii="Arial" w:hAnsi="Arial" w:cs="Arial"/>
                    </w:rPr>
                    <w:t>Injury or Mortality – Temporary Adverse effect of Site Significance</w:t>
                  </w:r>
                  <w:r w:rsidR="003C4532" w:rsidRPr="004C27B1">
                    <w:rPr>
                      <w:rFonts w:ascii="Arial" w:hAnsi="Arial" w:cs="Arial"/>
                    </w:rPr>
                    <w:t xml:space="preserve">. There is potential, without mitigation, for Irish hare and hedgehog to be injured or killed during construction. </w:t>
                  </w:r>
                </w:p>
              </w:tc>
              <w:tc>
                <w:tcPr>
                  <w:tcW w:w="1860" w:type="dxa"/>
                </w:tcPr>
                <w:p w14:paraId="0B136CCB" w14:textId="6D82C2C2" w:rsidR="006C1410" w:rsidRPr="004C27B1" w:rsidRDefault="00AA2665" w:rsidP="006C1410">
                  <w:pPr>
                    <w:jc w:val="both"/>
                    <w:rPr>
                      <w:rFonts w:ascii="Arial" w:hAnsi="Arial" w:cs="Arial"/>
                    </w:rPr>
                  </w:pPr>
                  <w:r w:rsidRPr="004C27B1">
                    <w:rPr>
                      <w:rFonts w:ascii="Arial" w:hAnsi="Arial" w:cs="Arial"/>
                    </w:rPr>
                    <w:t>No Effect</w:t>
                  </w:r>
                </w:p>
              </w:tc>
              <w:tc>
                <w:tcPr>
                  <w:tcW w:w="2235" w:type="dxa"/>
                </w:tcPr>
                <w:p w14:paraId="1381601C" w14:textId="68E04A46" w:rsidR="003078FD" w:rsidRPr="004C27B1" w:rsidRDefault="00AA2665" w:rsidP="003078FD">
                  <w:pPr>
                    <w:jc w:val="both"/>
                    <w:rPr>
                      <w:rFonts w:ascii="Arial" w:hAnsi="Arial" w:cs="Arial"/>
                    </w:rPr>
                  </w:pPr>
                  <w:r w:rsidRPr="004C27B1">
                    <w:rPr>
                      <w:rFonts w:ascii="Arial" w:hAnsi="Arial" w:cs="Arial"/>
                    </w:rPr>
                    <w:t xml:space="preserve">Temporary Adverse effect of Site Significance due to </w:t>
                  </w:r>
                  <w:r w:rsidR="003078FD" w:rsidRPr="004C27B1">
                    <w:rPr>
                      <w:rFonts w:ascii="Arial" w:hAnsi="Arial" w:cs="Arial"/>
                    </w:rPr>
                    <w:t xml:space="preserve">the potential for collision </w:t>
                  </w:r>
                </w:p>
                <w:p w14:paraId="03414C8A" w14:textId="6550D3F5" w:rsidR="006C1410" w:rsidRPr="004C27B1" w:rsidRDefault="003078FD" w:rsidP="003078FD">
                  <w:pPr>
                    <w:jc w:val="both"/>
                    <w:rPr>
                      <w:rFonts w:ascii="Arial" w:hAnsi="Arial" w:cs="Arial"/>
                    </w:rPr>
                  </w:pPr>
                  <w:r w:rsidRPr="004C27B1">
                    <w:rPr>
                      <w:rFonts w:ascii="Arial" w:hAnsi="Arial" w:cs="Arial"/>
                    </w:rPr>
                    <w:t>mortality with construction vehicles</w:t>
                  </w:r>
                </w:p>
              </w:tc>
            </w:tr>
            <w:tr w:rsidR="006707CC" w:rsidRPr="004C27B1" w14:paraId="209150CA" w14:textId="77777777" w:rsidTr="0051151D">
              <w:tc>
                <w:tcPr>
                  <w:tcW w:w="955" w:type="dxa"/>
                </w:tcPr>
                <w:p w14:paraId="631C2F0F" w14:textId="77777777" w:rsidR="006C1410" w:rsidRPr="004C27B1" w:rsidRDefault="006C1410" w:rsidP="006C1410">
                  <w:pPr>
                    <w:jc w:val="both"/>
                    <w:rPr>
                      <w:rFonts w:ascii="Arial" w:hAnsi="Arial" w:cs="Arial"/>
                      <w:b/>
                      <w:bCs/>
                    </w:rPr>
                  </w:pPr>
                  <w:r w:rsidRPr="004C27B1">
                    <w:rPr>
                      <w:rFonts w:ascii="Arial" w:hAnsi="Arial" w:cs="Arial"/>
                      <w:b/>
                      <w:bCs/>
                    </w:rPr>
                    <w:t>Impacts on Breeding Birds</w:t>
                  </w:r>
                </w:p>
              </w:tc>
              <w:tc>
                <w:tcPr>
                  <w:tcW w:w="3740" w:type="dxa"/>
                </w:tcPr>
                <w:p w14:paraId="4B463AF9" w14:textId="079B91D3" w:rsidR="006C1410" w:rsidRPr="004C27B1" w:rsidRDefault="002A5D75" w:rsidP="002A5D75">
                  <w:pPr>
                    <w:jc w:val="both"/>
                    <w:rPr>
                      <w:rFonts w:ascii="Arial" w:hAnsi="Arial" w:cs="Arial"/>
                    </w:rPr>
                  </w:pPr>
                  <w:r w:rsidRPr="004C27B1">
                    <w:rPr>
                      <w:rFonts w:ascii="Arial" w:hAnsi="Arial" w:cs="Arial"/>
                    </w:rPr>
                    <w:t>Temporary Adverse effect of Site significance.</w:t>
                  </w:r>
                </w:p>
              </w:tc>
              <w:tc>
                <w:tcPr>
                  <w:tcW w:w="1860" w:type="dxa"/>
                </w:tcPr>
                <w:p w14:paraId="60514B35" w14:textId="781808EA" w:rsidR="006C1410" w:rsidRPr="004C27B1" w:rsidRDefault="003C3532" w:rsidP="006C1410">
                  <w:pPr>
                    <w:jc w:val="both"/>
                    <w:rPr>
                      <w:rFonts w:ascii="Arial" w:hAnsi="Arial" w:cs="Arial"/>
                    </w:rPr>
                  </w:pPr>
                  <w:r w:rsidRPr="004C27B1">
                    <w:rPr>
                      <w:rFonts w:ascii="Arial" w:hAnsi="Arial" w:cs="Arial"/>
                    </w:rPr>
                    <w:t>Negligible Effect</w:t>
                  </w:r>
                </w:p>
              </w:tc>
              <w:tc>
                <w:tcPr>
                  <w:tcW w:w="2235" w:type="dxa"/>
                </w:tcPr>
                <w:p w14:paraId="29BF078C" w14:textId="7B36FD2D" w:rsidR="006C1410" w:rsidRPr="004C27B1" w:rsidRDefault="003C3532" w:rsidP="003C3532">
                  <w:pPr>
                    <w:jc w:val="both"/>
                    <w:rPr>
                      <w:rFonts w:ascii="Arial" w:hAnsi="Arial" w:cs="Arial"/>
                    </w:rPr>
                  </w:pPr>
                  <w:r w:rsidRPr="004C27B1">
                    <w:rPr>
                      <w:rFonts w:ascii="Arial" w:hAnsi="Arial" w:cs="Arial"/>
                    </w:rPr>
                    <w:t xml:space="preserve">Temporary Adverse effects of Site significance </w:t>
                  </w:r>
                </w:p>
              </w:tc>
            </w:tr>
            <w:tr w:rsidR="006707CC" w:rsidRPr="004C27B1" w14:paraId="00D777A4" w14:textId="77777777" w:rsidTr="0051151D">
              <w:tc>
                <w:tcPr>
                  <w:tcW w:w="955" w:type="dxa"/>
                </w:tcPr>
                <w:p w14:paraId="01D52170" w14:textId="77777777" w:rsidR="006C1410" w:rsidRPr="004C27B1" w:rsidRDefault="006C1410" w:rsidP="006C1410">
                  <w:pPr>
                    <w:jc w:val="both"/>
                    <w:rPr>
                      <w:rFonts w:ascii="Arial" w:hAnsi="Arial" w:cs="Arial"/>
                      <w:b/>
                      <w:bCs/>
                    </w:rPr>
                  </w:pPr>
                  <w:r w:rsidRPr="004C27B1">
                    <w:rPr>
                      <w:rFonts w:ascii="Arial" w:hAnsi="Arial" w:cs="Arial"/>
                      <w:b/>
                      <w:bCs/>
                    </w:rPr>
                    <w:t>Impacts on Wintering Birds</w:t>
                  </w:r>
                </w:p>
              </w:tc>
              <w:tc>
                <w:tcPr>
                  <w:tcW w:w="3740" w:type="dxa"/>
                </w:tcPr>
                <w:p w14:paraId="6870872C" w14:textId="47DCF5E9" w:rsidR="006C1410" w:rsidRPr="004C27B1" w:rsidRDefault="00485767" w:rsidP="006C1410">
                  <w:pPr>
                    <w:jc w:val="both"/>
                    <w:rPr>
                      <w:rFonts w:ascii="Arial" w:hAnsi="Arial" w:cs="Arial"/>
                    </w:rPr>
                  </w:pPr>
                  <w:r w:rsidRPr="004C27B1">
                    <w:rPr>
                      <w:rFonts w:ascii="Arial" w:hAnsi="Arial" w:cs="Arial"/>
                    </w:rPr>
                    <w:t>Negligible Effect</w:t>
                  </w:r>
                </w:p>
              </w:tc>
              <w:tc>
                <w:tcPr>
                  <w:tcW w:w="1860" w:type="dxa"/>
                </w:tcPr>
                <w:p w14:paraId="3FFE99C0" w14:textId="02D2CDF4" w:rsidR="006C1410" w:rsidRPr="004C27B1" w:rsidRDefault="00485767" w:rsidP="006C1410">
                  <w:pPr>
                    <w:jc w:val="both"/>
                    <w:rPr>
                      <w:rFonts w:ascii="Arial" w:hAnsi="Arial" w:cs="Arial"/>
                    </w:rPr>
                  </w:pPr>
                  <w:r w:rsidRPr="004C27B1">
                    <w:rPr>
                      <w:rFonts w:ascii="Arial" w:hAnsi="Arial" w:cs="Arial"/>
                    </w:rPr>
                    <w:t>Negligible Effect</w:t>
                  </w:r>
                </w:p>
              </w:tc>
              <w:tc>
                <w:tcPr>
                  <w:tcW w:w="2235" w:type="dxa"/>
                </w:tcPr>
                <w:p w14:paraId="255D2169" w14:textId="50B51565" w:rsidR="006C1410" w:rsidRPr="004C27B1" w:rsidRDefault="00270382" w:rsidP="006C1410">
                  <w:pPr>
                    <w:jc w:val="both"/>
                    <w:rPr>
                      <w:rFonts w:ascii="Arial" w:hAnsi="Arial" w:cs="Arial"/>
                    </w:rPr>
                  </w:pPr>
                  <w:r w:rsidRPr="004C27B1">
                    <w:rPr>
                      <w:rFonts w:ascii="Arial" w:hAnsi="Arial" w:cs="Arial"/>
                    </w:rPr>
                    <w:t>Negligible Effect</w:t>
                  </w:r>
                </w:p>
              </w:tc>
            </w:tr>
            <w:tr w:rsidR="006707CC" w:rsidRPr="004C27B1" w14:paraId="067013B8" w14:textId="77777777" w:rsidTr="0051151D">
              <w:tc>
                <w:tcPr>
                  <w:tcW w:w="955" w:type="dxa"/>
                </w:tcPr>
                <w:p w14:paraId="65156E6C" w14:textId="77777777" w:rsidR="006C1410" w:rsidRPr="004C27B1" w:rsidRDefault="006C1410" w:rsidP="006C1410">
                  <w:pPr>
                    <w:jc w:val="both"/>
                    <w:rPr>
                      <w:rFonts w:ascii="Arial" w:hAnsi="Arial" w:cs="Arial"/>
                      <w:b/>
                      <w:bCs/>
                    </w:rPr>
                  </w:pPr>
                  <w:r w:rsidRPr="004C27B1">
                    <w:rPr>
                      <w:rFonts w:ascii="Arial" w:hAnsi="Arial" w:cs="Arial"/>
                      <w:b/>
                      <w:bCs/>
                    </w:rPr>
                    <w:t>Impacts on White-tailed Eagles</w:t>
                  </w:r>
                </w:p>
              </w:tc>
              <w:tc>
                <w:tcPr>
                  <w:tcW w:w="3740" w:type="dxa"/>
                </w:tcPr>
                <w:p w14:paraId="023A06A5" w14:textId="071CB56C" w:rsidR="006C1410" w:rsidRPr="004C27B1" w:rsidRDefault="00270382" w:rsidP="00270382">
                  <w:pPr>
                    <w:jc w:val="both"/>
                    <w:rPr>
                      <w:rFonts w:ascii="Arial" w:hAnsi="Arial" w:cs="Arial"/>
                    </w:rPr>
                  </w:pPr>
                  <w:r w:rsidRPr="004C27B1">
                    <w:rPr>
                      <w:rFonts w:ascii="Arial" w:hAnsi="Arial" w:cs="Arial"/>
                    </w:rPr>
                    <w:t xml:space="preserve">At worst, a Temporary Adverse effect of National significance </w:t>
                  </w:r>
                </w:p>
              </w:tc>
              <w:tc>
                <w:tcPr>
                  <w:tcW w:w="1860" w:type="dxa"/>
                </w:tcPr>
                <w:p w14:paraId="071DABFB" w14:textId="7EAE489B" w:rsidR="006C1410" w:rsidRPr="004C27B1" w:rsidRDefault="00270382" w:rsidP="006C1410">
                  <w:pPr>
                    <w:jc w:val="both"/>
                    <w:rPr>
                      <w:rFonts w:ascii="Arial" w:hAnsi="Arial" w:cs="Arial"/>
                    </w:rPr>
                  </w:pPr>
                  <w:r w:rsidRPr="004C27B1">
                    <w:rPr>
                      <w:rFonts w:ascii="Arial" w:hAnsi="Arial" w:cs="Arial"/>
                    </w:rPr>
                    <w:t>Negligible Effect</w:t>
                  </w:r>
                </w:p>
              </w:tc>
              <w:tc>
                <w:tcPr>
                  <w:tcW w:w="2235" w:type="dxa"/>
                </w:tcPr>
                <w:p w14:paraId="185B6CF8" w14:textId="01997EAC" w:rsidR="006C1410" w:rsidRPr="004C27B1" w:rsidRDefault="001A3016" w:rsidP="006C1410">
                  <w:pPr>
                    <w:jc w:val="both"/>
                    <w:rPr>
                      <w:rFonts w:ascii="Arial" w:hAnsi="Arial" w:cs="Arial"/>
                    </w:rPr>
                  </w:pPr>
                  <w:r w:rsidRPr="004C27B1">
                    <w:rPr>
                      <w:rFonts w:ascii="Arial" w:hAnsi="Arial" w:cs="Arial"/>
                    </w:rPr>
                    <w:t>Negligible Effect</w:t>
                  </w:r>
                </w:p>
              </w:tc>
            </w:tr>
            <w:tr w:rsidR="006707CC" w:rsidRPr="004C27B1" w14:paraId="41CA18D5" w14:textId="77777777" w:rsidTr="0051151D">
              <w:tc>
                <w:tcPr>
                  <w:tcW w:w="955" w:type="dxa"/>
                </w:tcPr>
                <w:p w14:paraId="14B135D4" w14:textId="77777777" w:rsidR="006C1410" w:rsidRPr="004C27B1" w:rsidRDefault="006C1410" w:rsidP="006C1410">
                  <w:pPr>
                    <w:jc w:val="both"/>
                    <w:rPr>
                      <w:rFonts w:ascii="Arial" w:hAnsi="Arial" w:cs="Arial"/>
                      <w:b/>
                      <w:bCs/>
                    </w:rPr>
                  </w:pPr>
                  <w:r w:rsidRPr="004C27B1">
                    <w:rPr>
                      <w:rFonts w:ascii="Arial" w:hAnsi="Arial" w:cs="Arial"/>
                      <w:b/>
                      <w:bCs/>
                    </w:rPr>
                    <w:t>Impacts on Common Lizard Species</w:t>
                  </w:r>
                </w:p>
              </w:tc>
              <w:tc>
                <w:tcPr>
                  <w:tcW w:w="3740" w:type="dxa"/>
                </w:tcPr>
                <w:p w14:paraId="6D6AB5C8" w14:textId="574D8165" w:rsidR="006C1410" w:rsidRPr="004C27B1" w:rsidRDefault="00B41F4F" w:rsidP="006C1410">
                  <w:pPr>
                    <w:jc w:val="both"/>
                    <w:rPr>
                      <w:rFonts w:ascii="Arial" w:hAnsi="Arial" w:cs="Arial"/>
                    </w:rPr>
                  </w:pPr>
                  <w:r w:rsidRPr="004C27B1">
                    <w:rPr>
                      <w:rFonts w:ascii="Arial" w:hAnsi="Arial" w:cs="Arial"/>
                    </w:rPr>
                    <w:t>Temporary Adverse effect of Site significance.</w:t>
                  </w:r>
                </w:p>
              </w:tc>
              <w:tc>
                <w:tcPr>
                  <w:tcW w:w="1860" w:type="dxa"/>
                </w:tcPr>
                <w:p w14:paraId="31CC9ED9" w14:textId="57CE58FA" w:rsidR="006C1410" w:rsidRPr="004C27B1" w:rsidRDefault="00B41F4F" w:rsidP="006C1410">
                  <w:pPr>
                    <w:jc w:val="both"/>
                    <w:rPr>
                      <w:rFonts w:ascii="Arial" w:hAnsi="Arial" w:cs="Arial"/>
                    </w:rPr>
                  </w:pPr>
                  <w:r w:rsidRPr="004C27B1">
                    <w:rPr>
                      <w:rFonts w:ascii="Arial" w:hAnsi="Arial" w:cs="Arial"/>
                    </w:rPr>
                    <w:t>No Effect</w:t>
                  </w:r>
                </w:p>
              </w:tc>
              <w:tc>
                <w:tcPr>
                  <w:tcW w:w="2235" w:type="dxa"/>
                </w:tcPr>
                <w:p w14:paraId="11F6BD55" w14:textId="19236693" w:rsidR="006C1410" w:rsidRPr="004C27B1" w:rsidRDefault="00B41F4F" w:rsidP="006C1410">
                  <w:pPr>
                    <w:jc w:val="both"/>
                    <w:rPr>
                      <w:rFonts w:ascii="Arial" w:hAnsi="Arial" w:cs="Arial"/>
                    </w:rPr>
                  </w:pPr>
                  <w:r w:rsidRPr="004C27B1">
                    <w:rPr>
                      <w:rFonts w:ascii="Arial" w:hAnsi="Arial" w:cs="Arial"/>
                    </w:rPr>
                    <w:t>Temporary Adverse effect of Site significance.</w:t>
                  </w:r>
                </w:p>
              </w:tc>
            </w:tr>
            <w:tr w:rsidR="006707CC" w:rsidRPr="004C27B1" w14:paraId="0DDA3A1F" w14:textId="77777777" w:rsidTr="0051151D">
              <w:tc>
                <w:tcPr>
                  <w:tcW w:w="955" w:type="dxa"/>
                </w:tcPr>
                <w:p w14:paraId="01276AA4" w14:textId="77777777" w:rsidR="006C1410" w:rsidRPr="004C27B1" w:rsidRDefault="006C1410" w:rsidP="006C1410">
                  <w:pPr>
                    <w:jc w:val="both"/>
                    <w:rPr>
                      <w:rFonts w:ascii="Arial" w:hAnsi="Arial" w:cs="Arial"/>
                      <w:b/>
                      <w:bCs/>
                    </w:rPr>
                  </w:pPr>
                  <w:r w:rsidRPr="004C27B1">
                    <w:rPr>
                      <w:rFonts w:ascii="Arial" w:hAnsi="Arial" w:cs="Arial"/>
                      <w:b/>
                      <w:bCs/>
                    </w:rPr>
                    <w:t>Impacts on Invasive Non-native species</w:t>
                  </w:r>
                </w:p>
              </w:tc>
              <w:tc>
                <w:tcPr>
                  <w:tcW w:w="3740" w:type="dxa"/>
                </w:tcPr>
                <w:p w14:paraId="6032BF16" w14:textId="4FEE0A31" w:rsidR="006C1410" w:rsidRPr="004C27B1" w:rsidRDefault="00B41F4F" w:rsidP="006C1410">
                  <w:pPr>
                    <w:jc w:val="both"/>
                    <w:rPr>
                      <w:rFonts w:ascii="Arial" w:hAnsi="Arial" w:cs="Arial"/>
                    </w:rPr>
                  </w:pPr>
                  <w:r w:rsidRPr="004C27B1">
                    <w:rPr>
                      <w:rFonts w:ascii="Arial" w:hAnsi="Arial" w:cs="Arial"/>
                    </w:rPr>
                    <w:t>Negligible Effect</w:t>
                  </w:r>
                </w:p>
              </w:tc>
              <w:tc>
                <w:tcPr>
                  <w:tcW w:w="1860" w:type="dxa"/>
                </w:tcPr>
                <w:p w14:paraId="15D9A0F6" w14:textId="36C321EB" w:rsidR="006C1410" w:rsidRPr="004C27B1" w:rsidRDefault="00B41F4F" w:rsidP="006C1410">
                  <w:pPr>
                    <w:jc w:val="both"/>
                    <w:rPr>
                      <w:rFonts w:ascii="Arial" w:hAnsi="Arial" w:cs="Arial"/>
                    </w:rPr>
                  </w:pPr>
                  <w:r w:rsidRPr="004C27B1">
                    <w:rPr>
                      <w:rFonts w:ascii="Arial" w:hAnsi="Arial" w:cs="Arial"/>
                    </w:rPr>
                    <w:t xml:space="preserve">No </w:t>
                  </w:r>
                  <w:r w:rsidR="00DC3000" w:rsidRPr="004C27B1">
                    <w:rPr>
                      <w:rFonts w:ascii="Arial" w:hAnsi="Arial" w:cs="Arial"/>
                    </w:rPr>
                    <w:t>Effect</w:t>
                  </w:r>
                </w:p>
              </w:tc>
              <w:tc>
                <w:tcPr>
                  <w:tcW w:w="2235" w:type="dxa"/>
                </w:tcPr>
                <w:p w14:paraId="5900C6DF" w14:textId="4B34959D" w:rsidR="006C1410" w:rsidRPr="004C27B1" w:rsidRDefault="00DC3000" w:rsidP="006C1410">
                  <w:pPr>
                    <w:jc w:val="both"/>
                    <w:rPr>
                      <w:rFonts w:ascii="Arial" w:hAnsi="Arial" w:cs="Arial"/>
                    </w:rPr>
                  </w:pPr>
                  <w:r w:rsidRPr="004C27B1">
                    <w:rPr>
                      <w:rFonts w:ascii="Arial" w:hAnsi="Arial" w:cs="Arial"/>
                    </w:rPr>
                    <w:t>Temporary Adverse effect of Site significance.</w:t>
                  </w:r>
                </w:p>
              </w:tc>
            </w:tr>
            <w:tr w:rsidR="006707CC" w:rsidRPr="004C27B1" w14:paraId="46A07AC0" w14:textId="77777777" w:rsidTr="0051151D">
              <w:tc>
                <w:tcPr>
                  <w:tcW w:w="955" w:type="dxa"/>
                </w:tcPr>
                <w:p w14:paraId="07F47A54" w14:textId="77777777" w:rsidR="006C1410" w:rsidRPr="004C27B1" w:rsidRDefault="006C1410" w:rsidP="006C1410">
                  <w:pPr>
                    <w:jc w:val="both"/>
                    <w:rPr>
                      <w:rFonts w:ascii="Arial" w:hAnsi="Arial" w:cs="Arial"/>
                      <w:b/>
                      <w:bCs/>
                    </w:rPr>
                  </w:pPr>
                  <w:r w:rsidRPr="004C27B1">
                    <w:rPr>
                      <w:rFonts w:ascii="Arial" w:hAnsi="Arial" w:cs="Arial"/>
                      <w:b/>
                      <w:bCs/>
                    </w:rPr>
                    <w:t>Impacts on Marine Mammals</w:t>
                  </w:r>
                </w:p>
              </w:tc>
              <w:tc>
                <w:tcPr>
                  <w:tcW w:w="3740" w:type="dxa"/>
                </w:tcPr>
                <w:p w14:paraId="49058B6F" w14:textId="42D97D3A" w:rsidR="006C1410" w:rsidRPr="004C27B1" w:rsidRDefault="00550177" w:rsidP="006C1410">
                  <w:pPr>
                    <w:jc w:val="both"/>
                    <w:rPr>
                      <w:rFonts w:ascii="Arial" w:hAnsi="Arial" w:cs="Arial"/>
                    </w:rPr>
                  </w:pPr>
                  <w:r w:rsidRPr="004C27B1">
                    <w:rPr>
                      <w:rFonts w:ascii="Arial" w:hAnsi="Arial" w:cs="Arial"/>
                    </w:rPr>
                    <w:t>Negligible Effect</w:t>
                  </w:r>
                </w:p>
              </w:tc>
              <w:tc>
                <w:tcPr>
                  <w:tcW w:w="1860" w:type="dxa"/>
                </w:tcPr>
                <w:p w14:paraId="74C2ED86" w14:textId="2CA5F39C" w:rsidR="006C1410" w:rsidRPr="004C27B1" w:rsidRDefault="00550177" w:rsidP="006C1410">
                  <w:pPr>
                    <w:jc w:val="both"/>
                    <w:rPr>
                      <w:rFonts w:ascii="Arial" w:hAnsi="Arial" w:cs="Arial"/>
                    </w:rPr>
                  </w:pPr>
                  <w:r w:rsidRPr="004C27B1">
                    <w:rPr>
                      <w:rFonts w:ascii="Arial" w:hAnsi="Arial" w:cs="Arial"/>
                    </w:rPr>
                    <w:t>Negligible Effect</w:t>
                  </w:r>
                </w:p>
              </w:tc>
              <w:tc>
                <w:tcPr>
                  <w:tcW w:w="2235" w:type="dxa"/>
                </w:tcPr>
                <w:p w14:paraId="751F2377" w14:textId="757F83D5" w:rsidR="006C1410" w:rsidRPr="004C27B1" w:rsidRDefault="00550177" w:rsidP="006C1410">
                  <w:pPr>
                    <w:jc w:val="both"/>
                    <w:rPr>
                      <w:rFonts w:ascii="Arial" w:hAnsi="Arial" w:cs="Arial"/>
                    </w:rPr>
                  </w:pPr>
                  <w:r w:rsidRPr="004C27B1">
                    <w:rPr>
                      <w:rFonts w:ascii="Arial" w:hAnsi="Arial" w:cs="Arial"/>
                    </w:rPr>
                    <w:t>Negligible Effect</w:t>
                  </w:r>
                </w:p>
              </w:tc>
            </w:tr>
          </w:tbl>
          <w:p w14:paraId="03EA8618" w14:textId="420AA35C" w:rsidR="00DC5377" w:rsidRPr="004C27B1" w:rsidRDefault="00DC5377" w:rsidP="00550177">
            <w:pPr>
              <w:jc w:val="both"/>
            </w:pPr>
          </w:p>
        </w:tc>
      </w:tr>
      <w:tr w:rsidR="00E9683D" w:rsidRPr="00E10034" w14:paraId="34DEA788" w14:textId="77777777" w:rsidTr="0015339A">
        <w:trPr>
          <w:trHeight w:val="163"/>
        </w:trPr>
        <w:tc>
          <w:tcPr>
            <w:tcW w:w="9016" w:type="dxa"/>
            <w:shd w:val="clear" w:color="auto" w:fill="D9D9D9" w:themeFill="background1" w:themeFillShade="D9"/>
          </w:tcPr>
          <w:p w14:paraId="63CFC5A8" w14:textId="77777777" w:rsidR="00E9683D" w:rsidRPr="004C27B1" w:rsidRDefault="00E9683D" w:rsidP="0015339A">
            <w:pPr>
              <w:jc w:val="both"/>
              <w:rPr>
                <w:rFonts w:ascii="Arial" w:hAnsi="Arial" w:cs="Arial"/>
              </w:rPr>
            </w:pPr>
            <w:r w:rsidRPr="004C27B1">
              <w:rPr>
                <w:rFonts w:ascii="Arial" w:hAnsi="Arial" w:cs="Arial"/>
                <w:b/>
                <w:bCs/>
              </w:rPr>
              <w:lastRenderedPageBreak/>
              <w:t>Cumulative Impacts</w:t>
            </w:r>
          </w:p>
        </w:tc>
      </w:tr>
      <w:tr w:rsidR="00E9683D" w:rsidRPr="00E10034" w14:paraId="6096E11C" w14:textId="77777777" w:rsidTr="0015339A">
        <w:tc>
          <w:tcPr>
            <w:tcW w:w="9016" w:type="dxa"/>
          </w:tcPr>
          <w:p w14:paraId="5CCDDCA7" w14:textId="65797277" w:rsidR="00E9683D" w:rsidRPr="004C27B1" w:rsidRDefault="00947114" w:rsidP="00C6208E">
            <w:pPr>
              <w:pStyle w:val="ListParagraph"/>
              <w:numPr>
                <w:ilvl w:val="0"/>
                <w:numId w:val="43"/>
              </w:numPr>
              <w:spacing w:after="0" w:line="240" w:lineRule="auto"/>
              <w:jc w:val="both"/>
              <w:rPr>
                <w:sz w:val="22"/>
                <w:szCs w:val="22"/>
              </w:rPr>
            </w:pPr>
            <w:r w:rsidRPr="004C27B1">
              <w:rPr>
                <w:sz w:val="22"/>
                <w:szCs w:val="22"/>
              </w:rPr>
              <w:lastRenderedPageBreak/>
              <w:t>It was determined that there is no potential for cumulative effects given the distance to any proposed developments, limited habitat loss within the Site, and lack of overlap between the construction phases.</w:t>
            </w:r>
          </w:p>
        </w:tc>
      </w:tr>
    </w:tbl>
    <w:p w14:paraId="15D8D8E1" w14:textId="77777777" w:rsidR="00E9683D" w:rsidRDefault="00E9683D" w:rsidP="00E9683D">
      <w:pPr>
        <w:pStyle w:val="Heading2"/>
      </w:pPr>
      <w:r>
        <w:t>Mitigation</w:t>
      </w:r>
    </w:p>
    <w:p w14:paraId="1F24FE8B" w14:textId="49B60FAE" w:rsidR="001358FF" w:rsidRDefault="00D05430" w:rsidP="001D4A4F">
      <w:pPr>
        <w:pStyle w:val="BBody1"/>
        <w:numPr>
          <w:ilvl w:val="0"/>
          <w:numId w:val="0"/>
        </w:numPr>
        <w:jc w:val="both"/>
      </w:pPr>
      <w:r>
        <w:t xml:space="preserve">Mitigation Measures are contained in Section 9.6 of the EIAR and in the </w:t>
      </w:r>
      <w:r w:rsidR="00557934">
        <w:t xml:space="preserve">CEMP contained in Appendix 5A, Volume II.  </w:t>
      </w:r>
      <w:r w:rsidR="00AA2CE4">
        <w:t>Whilst significant adverse effects are not predicted, the following mitigation measures will be implemented as part of standard good practice.</w:t>
      </w:r>
      <w:r w:rsidR="001358FF">
        <w:t xml:space="preserve">  To summarise, the</w:t>
      </w:r>
      <w:r w:rsidR="00590AC0">
        <w:t xml:space="preserve"> main mitigation measures</w:t>
      </w:r>
      <w:r w:rsidR="001358FF">
        <w:t xml:space="preserve"> will include: </w:t>
      </w:r>
    </w:p>
    <w:p w14:paraId="7FE9E3D1" w14:textId="43552CEE" w:rsidR="00E658AF" w:rsidRDefault="001358FF" w:rsidP="002679B6">
      <w:pPr>
        <w:pStyle w:val="BBody1"/>
        <w:numPr>
          <w:ilvl w:val="0"/>
          <w:numId w:val="43"/>
        </w:numPr>
        <w:jc w:val="both"/>
      </w:pPr>
      <w:r>
        <w:t>Prior to the commencement of construction, a confirmatory survey for protected or notable species will be carried out</w:t>
      </w:r>
      <w:r w:rsidR="00E658AF">
        <w:t>.</w:t>
      </w:r>
      <w:r w:rsidR="002679B6">
        <w:t xml:space="preserve">  Works that will directly impact upon areas of vegetation that could be used by nesting birds will be undertaken outside of the breeding season, 01 March to 31 August, inclusive.</w:t>
      </w:r>
    </w:p>
    <w:p w14:paraId="783A70A9" w14:textId="2895430A" w:rsidR="00E658AF" w:rsidRDefault="00E658AF" w:rsidP="00636165">
      <w:pPr>
        <w:pStyle w:val="BBody1"/>
        <w:numPr>
          <w:ilvl w:val="0"/>
          <w:numId w:val="43"/>
        </w:numPr>
        <w:jc w:val="both"/>
      </w:pPr>
      <w:r>
        <w:t>Al</w:t>
      </w:r>
      <w:r w:rsidR="001358FF">
        <w:t xml:space="preserve">l personnel involved in </w:t>
      </w:r>
      <w:r w:rsidR="00B50672">
        <w:t>all phases</w:t>
      </w:r>
      <w:r w:rsidR="006766FB">
        <w:t xml:space="preserve"> of </w:t>
      </w:r>
      <w:r w:rsidR="00A67AEA">
        <w:t xml:space="preserve">the </w:t>
      </w:r>
      <w:r w:rsidR="006766FB">
        <w:t>development</w:t>
      </w:r>
      <w:r w:rsidR="001358FF">
        <w:t xml:space="preserve"> will be made aware of the ecological features and the mitigation measures and working procedures that must be adopted. </w:t>
      </w:r>
      <w:r w:rsidR="00636165">
        <w:t>During all phases of the Proposed Development pollution prevention measures will be adopted.</w:t>
      </w:r>
    </w:p>
    <w:p w14:paraId="0F6A5430" w14:textId="77777777" w:rsidR="00E658AF" w:rsidRDefault="00E658AF" w:rsidP="00C6208E">
      <w:pPr>
        <w:pStyle w:val="BBody1"/>
        <w:numPr>
          <w:ilvl w:val="0"/>
          <w:numId w:val="43"/>
        </w:numPr>
        <w:jc w:val="both"/>
      </w:pPr>
      <w:r>
        <w:t>A</w:t>
      </w:r>
      <w:r w:rsidR="001358FF">
        <w:t xml:space="preserve"> suitably qualified Ecological / Environmental Clerk of Works (</w:t>
      </w:r>
      <w:proofErr w:type="spellStart"/>
      <w:r w:rsidR="001358FF">
        <w:t>ECoW</w:t>
      </w:r>
      <w:proofErr w:type="spellEnd"/>
      <w:r w:rsidR="001358FF">
        <w:t xml:space="preserve">) will be employed for the duration of the construction of the Proposed Development. </w:t>
      </w:r>
    </w:p>
    <w:p w14:paraId="23063B7F" w14:textId="7561484E" w:rsidR="001358FF" w:rsidRDefault="00E658AF" w:rsidP="00C6208E">
      <w:pPr>
        <w:pStyle w:val="BBody1"/>
        <w:numPr>
          <w:ilvl w:val="0"/>
          <w:numId w:val="43"/>
        </w:numPr>
        <w:jc w:val="both"/>
      </w:pPr>
      <w:r>
        <w:t>A</w:t>
      </w:r>
      <w:r w:rsidR="001358FF">
        <w:t xml:space="preserve"> Contractor’s Construction Environmental Management Plan (CEMP) will be updated prior to commencement of construction</w:t>
      </w:r>
      <w:r w:rsidR="00610647">
        <w:t>.</w:t>
      </w:r>
      <w:r w:rsidR="007F5C54">
        <w:t xml:space="preserve">  </w:t>
      </w:r>
    </w:p>
    <w:p w14:paraId="0441D3ED" w14:textId="0103558E" w:rsidR="00E9683D" w:rsidRDefault="00E9683D" w:rsidP="005062D6">
      <w:pPr>
        <w:pStyle w:val="Heading2"/>
      </w:pPr>
      <w:r>
        <w:t>Residual Effects</w:t>
      </w:r>
    </w:p>
    <w:p w14:paraId="1CA0C7A2" w14:textId="6ADBBBF0" w:rsidR="00C62331" w:rsidRDefault="00C62331" w:rsidP="00C62331">
      <w:pPr>
        <w:pStyle w:val="BBody1"/>
        <w:numPr>
          <w:ilvl w:val="0"/>
          <w:numId w:val="0"/>
        </w:numPr>
        <w:jc w:val="both"/>
      </w:pPr>
      <w:r w:rsidRPr="00C62331">
        <w:t>Following implementation of mitigation, the following non-</w:t>
      </w:r>
      <w:r w:rsidR="00714AE6">
        <w:t>s</w:t>
      </w:r>
      <w:r w:rsidRPr="00C62331">
        <w:t xml:space="preserve">ignificant adverse effects are predicted from the Proposed Development: </w:t>
      </w:r>
    </w:p>
    <w:p w14:paraId="0FD400DD" w14:textId="77777777" w:rsidR="00C62331" w:rsidRDefault="00C62331" w:rsidP="00C6208E">
      <w:pPr>
        <w:pStyle w:val="BBody1"/>
        <w:numPr>
          <w:ilvl w:val="0"/>
          <w:numId w:val="43"/>
        </w:numPr>
        <w:jc w:val="both"/>
      </w:pPr>
      <w:r>
        <w:t>A</w:t>
      </w:r>
      <w:r w:rsidRPr="00C62331">
        <w:t xml:space="preserve"> permanent adverse effect of Site significance on recolonising bare ground and dry meadows and grassy verges due to minor loss during the construction and decommissioning </w:t>
      </w:r>
      <w:proofErr w:type="gramStart"/>
      <w:r w:rsidRPr="00C62331">
        <w:t>phases;</w:t>
      </w:r>
      <w:proofErr w:type="gramEnd"/>
      <w:r w:rsidRPr="00C62331">
        <w:t xml:space="preserve"> </w:t>
      </w:r>
    </w:p>
    <w:p w14:paraId="6A5F0B88" w14:textId="77777777" w:rsidR="00C62331" w:rsidRDefault="00C62331" w:rsidP="00C6208E">
      <w:pPr>
        <w:pStyle w:val="BBody1"/>
        <w:numPr>
          <w:ilvl w:val="0"/>
          <w:numId w:val="43"/>
        </w:numPr>
        <w:jc w:val="both"/>
      </w:pPr>
      <w:r>
        <w:t xml:space="preserve">A </w:t>
      </w:r>
      <w:r w:rsidRPr="00C62331">
        <w:t xml:space="preserve">temporary adverse effect of Site significance to other protected mammals; Irish hare and hedgehog during the construction and decommissioning phases as a result of potential </w:t>
      </w:r>
      <w:proofErr w:type="gramStart"/>
      <w:r w:rsidRPr="00C62331">
        <w:t>mortality;</w:t>
      </w:r>
      <w:proofErr w:type="gramEnd"/>
      <w:r w:rsidRPr="00C62331">
        <w:t xml:space="preserve"> </w:t>
      </w:r>
    </w:p>
    <w:p w14:paraId="1D41D291" w14:textId="77777777" w:rsidR="00C62331" w:rsidRDefault="00C62331" w:rsidP="00C6208E">
      <w:pPr>
        <w:pStyle w:val="BBody1"/>
        <w:numPr>
          <w:ilvl w:val="0"/>
          <w:numId w:val="43"/>
        </w:numPr>
        <w:jc w:val="both"/>
      </w:pPr>
      <w:r>
        <w:lastRenderedPageBreak/>
        <w:t xml:space="preserve">A </w:t>
      </w:r>
      <w:r w:rsidRPr="00C62331">
        <w:t xml:space="preserve">temporary adverse effect of Site significance to breeding birds due to the loss of habitat and destruction of nests during the breeding season during the construction and decommissioning phases; and </w:t>
      </w:r>
    </w:p>
    <w:p w14:paraId="7DC8116C" w14:textId="0137CD96" w:rsidR="00C62331" w:rsidRDefault="00C62331" w:rsidP="00C6208E">
      <w:pPr>
        <w:pStyle w:val="BBody1"/>
        <w:numPr>
          <w:ilvl w:val="0"/>
          <w:numId w:val="43"/>
        </w:numPr>
        <w:jc w:val="both"/>
      </w:pPr>
      <w:r>
        <w:t>A</w:t>
      </w:r>
      <w:r w:rsidRPr="00C62331">
        <w:t xml:space="preserve"> temporary adverse effect of Site significance on common lizard due to minor habitat loss during the construction and decommissioning phases. All other effects, following implementation of mitigation, are predicted to be Negligible or absent.</w:t>
      </w:r>
      <w:r w:rsidR="00E9683D" w:rsidRPr="00C62331">
        <w:t xml:space="preserve"> </w:t>
      </w:r>
    </w:p>
    <w:p w14:paraId="15F52EEC" w14:textId="7C046BEB" w:rsidR="00E9683D" w:rsidRPr="00C62331" w:rsidRDefault="00C62331" w:rsidP="00C62331">
      <w:pPr>
        <w:pStyle w:val="Heading2"/>
      </w:pPr>
      <w:r w:rsidRPr="00C62331">
        <w:rPr>
          <w:bCs/>
        </w:rPr>
        <w:t>The Assessment:</w:t>
      </w:r>
      <w:r w:rsidRPr="00C62331">
        <w:rPr>
          <w:b w:val="0"/>
        </w:rPr>
        <w:t xml:space="preserve">  </w:t>
      </w:r>
      <w:r w:rsidR="00E9683D" w:rsidRPr="00C62331">
        <w:t>Direct and Indirect Effects</w:t>
      </w:r>
    </w:p>
    <w:p w14:paraId="7A15E242" w14:textId="13B20AA9" w:rsidR="00E9683D" w:rsidRPr="000447D2" w:rsidRDefault="00E9683D" w:rsidP="00E9683D">
      <w:pPr>
        <w:pStyle w:val="BBody1"/>
        <w:numPr>
          <w:ilvl w:val="0"/>
          <w:numId w:val="0"/>
        </w:numPr>
        <w:jc w:val="both"/>
      </w:pPr>
      <w:r w:rsidRPr="000447D2">
        <w:t xml:space="preserve">I have examined, </w:t>
      </w:r>
      <w:proofErr w:type="gramStart"/>
      <w:r w:rsidRPr="000447D2">
        <w:t>analysed</w:t>
      </w:r>
      <w:proofErr w:type="gramEnd"/>
      <w:r w:rsidRPr="000447D2">
        <w:t xml:space="preserve"> and evaluated Chapter </w:t>
      </w:r>
      <w:r w:rsidR="00967511">
        <w:t>10</w:t>
      </w:r>
      <w:r w:rsidRPr="000447D2">
        <w:t xml:space="preserve"> of the EIAR, and all of the associated documentation. </w:t>
      </w:r>
      <w:r w:rsidR="006766FB">
        <w:t xml:space="preserve"> </w:t>
      </w:r>
      <w:r w:rsidRPr="000447D2">
        <w:t xml:space="preserve">The EIAR has raised no significant concerns in relation to </w:t>
      </w:r>
      <w:r w:rsidR="000447D2" w:rsidRPr="000447D2">
        <w:t>Biodiversity</w:t>
      </w:r>
      <w:r w:rsidRPr="000447D2">
        <w:t>.</w:t>
      </w:r>
      <w:r w:rsidR="00847D33">
        <w:t xml:space="preserve">  As outlined </w:t>
      </w:r>
      <w:r w:rsidR="006766FB">
        <w:t xml:space="preserve">in </w:t>
      </w:r>
      <w:r w:rsidR="00847D33">
        <w:t>Table 10.2</w:t>
      </w:r>
      <w:r w:rsidR="00967511">
        <w:t xml:space="preserve"> above</w:t>
      </w:r>
      <w:r w:rsidR="00847D33">
        <w:t xml:space="preserve">, no </w:t>
      </w:r>
      <w:r w:rsidR="00742A8B">
        <w:t xml:space="preserve">significant </w:t>
      </w:r>
      <w:r w:rsidR="00A56BD5">
        <w:t xml:space="preserve">likely </w:t>
      </w:r>
      <w:r w:rsidR="00742A8B">
        <w:t xml:space="preserve">effects </w:t>
      </w:r>
      <w:r w:rsidR="00A56BD5">
        <w:t xml:space="preserve">on </w:t>
      </w:r>
      <w:r w:rsidR="00531BC9">
        <w:t>habitats/species</w:t>
      </w:r>
      <w:r w:rsidR="00A56BD5">
        <w:t xml:space="preserve"> </w:t>
      </w:r>
      <w:r w:rsidR="00742A8B">
        <w:t xml:space="preserve">have been identified </w:t>
      </w:r>
      <w:r w:rsidR="0001304A">
        <w:t xml:space="preserve">as part of the EIAR assessment </w:t>
      </w:r>
      <w:r w:rsidR="00A56BD5">
        <w:t>during the construction, operation</w:t>
      </w:r>
      <w:r w:rsidR="006766FB">
        <w:t>al</w:t>
      </w:r>
      <w:r w:rsidR="00A56BD5">
        <w:t xml:space="preserve"> and decommissioning phases of the proposed development.</w:t>
      </w:r>
      <w:r w:rsidR="0001304A">
        <w:t xml:space="preserve">  With the implementation of mitigation measures outlined </w:t>
      </w:r>
      <w:r w:rsidR="00D80C01">
        <w:t>in Section 9.6 of the EIAR and in the CEMP</w:t>
      </w:r>
      <w:r w:rsidR="00240CB7">
        <w:t>, I consider the likelihood of adverse effects to be negligible and not significant.</w:t>
      </w:r>
    </w:p>
    <w:p w14:paraId="1C5E48BA" w14:textId="11A463AA" w:rsidR="00E9683D" w:rsidRPr="008A4717" w:rsidRDefault="00E9683D" w:rsidP="00E9683D">
      <w:pPr>
        <w:pStyle w:val="Heading2"/>
      </w:pPr>
      <w:r w:rsidRPr="008A4717">
        <w:t>Conclusion:  Direct and Indirect Effects (</w:t>
      </w:r>
      <w:r w:rsidR="00633B53">
        <w:t>Biodiversity</w:t>
      </w:r>
      <w:r w:rsidRPr="008A4717">
        <w:t>)</w:t>
      </w:r>
    </w:p>
    <w:p w14:paraId="6EFA2E97" w14:textId="614B9141" w:rsidR="00324116" w:rsidRDefault="0048641B" w:rsidP="0048641B">
      <w:pPr>
        <w:pStyle w:val="BBody1"/>
        <w:numPr>
          <w:ilvl w:val="0"/>
          <w:numId w:val="0"/>
        </w:numPr>
        <w:jc w:val="both"/>
      </w:pPr>
      <w:r w:rsidRPr="003E62D1">
        <w:t>Hav</w:t>
      </w:r>
      <w:r>
        <w:t>i</w:t>
      </w:r>
      <w:r w:rsidRPr="003E62D1">
        <w:t>ng regard to the nature and scale of the proposed OCGT energy facility</w:t>
      </w:r>
      <w:r w:rsidR="00633B53">
        <w:t xml:space="preserve">, </w:t>
      </w:r>
      <w:r>
        <w:t xml:space="preserve">I am satisfied that the proposed development would not have an adverse impact on biodiversity (including habitats and species), subject to compliance with relevant legislation and guidance, implementation of the EIAR and final CEMP mitigation measures, compliance with recommended conditions and adherence to the terms of the EPA IE Licence (as reviewed and/or amended).  </w:t>
      </w:r>
    </w:p>
    <w:p w14:paraId="12875CE5" w14:textId="44FA7D9F" w:rsidR="00324116" w:rsidRPr="00E9683D" w:rsidRDefault="00FF6BDC" w:rsidP="00324116">
      <w:pPr>
        <w:pStyle w:val="EHead1"/>
      </w:pPr>
      <w:bookmarkStart w:id="49" w:name="_Toc171346789"/>
      <w:r>
        <w:t>Landscape and Visual</w:t>
      </w:r>
      <w:bookmarkEnd w:id="49"/>
    </w:p>
    <w:p w14:paraId="6E036EB7" w14:textId="77777777" w:rsidR="00324116" w:rsidRPr="005C552D" w:rsidRDefault="00324116" w:rsidP="00324116">
      <w:pPr>
        <w:pStyle w:val="Heading2"/>
      </w:pPr>
      <w:r>
        <w:t>Issues Raised</w:t>
      </w:r>
    </w:p>
    <w:p w14:paraId="14BB6529" w14:textId="151F08F1" w:rsidR="00324116" w:rsidRDefault="00187585" w:rsidP="00324116">
      <w:pPr>
        <w:pStyle w:val="BBody1"/>
        <w:numPr>
          <w:ilvl w:val="0"/>
          <w:numId w:val="0"/>
        </w:numPr>
        <w:jc w:val="both"/>
      </w:pPr>
      <w:r>
        <w:t xml:space="preserve">The KCC report notes </w:t>
      </w:r>
      <w:r w:rsidR="00D15C28">
        <w:t>that the site is 0.22k</w:t>
      </w:r>
      <w:r w:rsidR="002679B6">
        <w:t>m</w:t>
      </w:r>
      <w:r w:rsidR="00D15C28">
        <w:t xml:space="preserve"> north from a designated Visually Sensitive Area as per the Kerry County Development Plan 2022-2028.  A ‘Views and Prospects’ corridor is also designated along the N67 National Secondary Public Road </w:t>
      </w:r>
      <w:r w:rsidR="00D15C28">
        <w:lastRenderedPageBreak/>
        <w:t>southeast of the site.  From a landscape and visual perspective, given the presence of existing large buildings already on the site, the visual impact will be localised.</w:t>
      </w:r>
    </w:p>
    <w:p w14:paraId="742480FA" w14:textId="77777777" w:rsidR="00324116" w:rsidRPr="00302D10" w:rsidRDefault="00324116" w:rsidP="00324116">
      <w:pPr>
        <w:pStyle w:val="Heading3"/>
      </w:pPr>
      <w:r w:rsidRPr="00302D10">
        <w:t>Context</w:t>
      </w:r>
    </w:p>
    <w:p w14:paraId="3774E1AB" w14:textId="3EE8EBE9" w:rsidR="00957736" w:rsidRDefault="00405CEB" w:rsidP="00957736">
      <w:pPr>
        <w:pStyle w:val="BBody1"/>
        <w:numPr>
          <w:ilvl w:val="0"/>
          <w:numId w:val="0"/>
        </w:numPr>
        <w:jc w:val="both"/>
      </w:pPr>
      <w:r>
        <w:t>Landscape and Visual</w:t>
      </w:r>
      <w:r w:rsidR="002679B6">
        <w:t xml:space="preserve"> Impact</w:t>
      </w:r>
      <w:r w:rsidR="00324116">
        <w:t xml:space="preserve"> is addressed in Chapter </w:t>
      </w:r>
      <w:r w:rsidR="00A327C6">
        <w:t>10</w:t>
      </w:r>
      <w:r w:rsidR="00324116">
        <w:t xml:space="preserve"> of the EIAR, Volume I, Appendix </w:t>
      </w:r>
      <w:r w:rsidR="00A327C6">
        <w:t>10A (Photomontages)</w:t>
      </w:r>
      <w:r w:rsidR="00324116">
        <w:t>, Volume 2 and Figure</w:t>
      </w:r>
      <w:r w:rsidR="008214F9">
        <w:t>s</w:t>
      </w:r>
      <w:r w:rsidR="00324116">
        <w:t xml:space="preserve"> </w:t>
      </w:r>
      <w:r w:rsidR="00FB2064">
        <w:t>10</w:t>
      </w:r>
      <w:r w:rsidR="00324116">
        <w:t>.1</w:t>
      </w:r>
      <w:r w:rsidR="00FB2064">
        <w:t xml:space="preserve"> and 10.2</w:t>
      </w:r>
      <w:r w:rsidR="00324116">
        <w:t xml:space="preserve"> in Volume III.  Chapter </w:t>
      </w:r>
      <w:r w:rsidR="00FB2064">
        <w:t>10</w:t>
      </w:r>
      <w:r w:rsidR="00324116">
        <w:t xml:space="preserve"> sets out the Methodology, Regulatory and Policy Framework, Baseline Environmental Conditions, Potential Impacts and Cumulative Impacts.  </w:t>
      </w:r>
    </w:p>
    <w:p w14:paraId="1EC93910" w14:textId="7505883C" w:rsidR="00C0556C" w:rsidRDefault="00483BAF" w:rsidP="00957736">
      <w:pPr>
        <w:pStyle w:val="BBody1"/>
        <w:numPr>
          <w:ilvl w:val="0"/>
          <w:numId w:val="0"/>
        </w:numPr>
        <w:jc w:val="both"/>
      </w:pPr>
      <w:r>
        <w:t>The chapter has been prepared in accordance with the 2022 Environment Protection Agency (EPA) Guidelines on the Information to be contained in Environmental Impact Assessment Reports as well as the 2013 Landscape Institute guidelines on preparing Landscape and Visual Impact Assessments.</w:t>
      </w:r>
      <w:r w:rsidR="00D97AA5">
        <w:t xml:space="preserve"> (GLVIA3)</w:t>
      </w:r>
      <w:r w:rsidR="00316D60">
        <w:t>.</w:t>
      </w:r>
      <w:r w:rsidR="002679B6">
        <w:t xml:space="preserve">  </w:t>
      </w:r>
      <w:r w:rsidR="00316D60">
        <w:t xml:space="preserve">The EIAR was informed by desk studies and site appraisals.  </w:t>
      </w:r>
      <w:r w:rsidR="00307B2E">
        <w:t>The assessment reports on potential effects during both construction (29 months) and operation (25 years)</w:t>
      </w:r>
      <w:r w:rsidR="00E21ADB">
        <w:t xml:space="preserve">.  </w:t>
      </w:r>
      <w:r w:rsidR="00700987">
        <w:t xml:space="preserve">Effects from decommissioning phase (after 25 years) are considered </w:t>
      </w:r>
      <w:proofErr w:type="gramStart"/>
      <w:r w:rsidR="00700987">
        <w:t>similar to</w:t>
      </w:r>
      <w:proofErr w:type="gramEnd"/>
      <w:r w:rsidR="00700987">
        <w:t xml:space="preserve"> those arising from the construction process and have not been considered separately in the report.  </w:t>
      </w:r>
      <w:r w:rsidR="00947C4B">
        <w:t xml:space="preserve">A Zone of Theoretical Visibility (ZTV) </w:t>
      </w:r>
      <w:r w:rsidR="0088506E">
        <w:t>map was produced (Figure 10.2, Volume III)</w:t>
      </w:r>
      <w:r w:rsidR="00BC502F">
        <w:t>.</w:t>
      </w:r>
      <w:r w:rsidR="00FB04A7">
        <w:t xml:space="preserve">  A study area radius of 10km was set from the boundary of the Site.  </w:t>
      </w:r>
      <w:r w:rsidR="00115047">
        <w:t>It is noted that the study area of 10km defines the area within which potential effects could be significant rather than defining the extent of visibility, as the site may be visible from further afield.</w:t>
      </w:r>
    </w:p>
    <w:p w14:paraId="47C4A1A0" w14:textId="77777777" w:rsidR="00324116" w:rsidRDefault="00324116" w:rsidP="00324116">
      <w:pPr>
        <w:pStyle w:val="Heading3"/>
      </w:pPr>
      <w:r>
        <w:t>Baseline</w:t>
      </w:r>
    </w:p>
    <w:p w14:paraId="3DCC9ABB" w14:textId="206FD9D4" w:rsidR="00497182" w:rsidRDefault="007B0C64" w:rsidP="007B0C64">
      <w:pPr>
        <w:pStyle w:val="BBody1"/>
        <w:numPr>
          <w:ilvl w:val="0"/>
          <w:numId w:val="0"/>
        </w:numPr>
        <w:jc w:val="both"/>
      </w:pPr>
      <w:r>
        <w:t xml:space="preserve">The landscape in the surrounding environs of the Proposed Development has been modified by </w:t>
      </w:r>
      <w:proofErr w:type="gramStart"/>
      <w:r>
        <w:t>a number of</w:t>
      </w:r>
      <w:proofErr w:type="gramEnd"/>
      <w:r>
        <w:t xml:space="preserve"> constructed elements, including SSE Tarbert which, when combined with the existing Moneypoint Power Station at the northern shore of the Shannon estuary, forms a significant cluster of industrial power</w:t>
      </w:r>
      <w:r w:rsidR="002A7939">
        <w:t>-generation?</w:t>
      </w:r>
      <w:r>
        <w:t xml:space="preserve"> infrastructure along the estuary. The Site is accessed from the N67, which terminates to the west of the existing SSE Tarbert site at the Tarbert Ferry crossing point (Tarbert – Killimer Ferry), connecting counties Clare and Kerry. The landscape to the south of the Site and the existing SSE Tarbert is comprised of fields in agricultural pasture with hedgerows, treelines and interspersed with connecting parcels of woodland associated with Tarbert House. </w:t>
      </w:r>
    </w:p>
    <w:p w14:paraId="0C21FE7D" w14:textId="378B16AD" w:rsidR="009C7E13" w:rsidRDefault="00B52481" w:rsidP="007B0C64">
      <w:pPr>
        <w:pStyle w:val="BBody1"/>
        <w:numPr>
          <w:ilvl w:val="0"/>
          <w:numId w:val="0"/>
        </w:numPr>
        <w:jc w:val="both"/>
      </w:pPr>
      <w:r>
        <w:lastRenderedPageBreak/>
        <w:t>Under the Kerry CDP, the</w:t>
      </w:r>
      <w:r w:rsidR="00ED2C85">
        <w:t xml:space="preserve"> Site is located within landscape type “J - Urban Area”. Adjacent agricultural lands to the south are classified as “C - Pasture with mature hedgerows” and the parcel of woodland around Tarbert House is identified as “G - Deciduous Woodland”, which is considered a valuable resource in terms of both biodiversity and by contributing to a varied, </w:t>
      </w:r>
      <w:proofErr w:type="gramStart"/>
      <w:r w:rsidR="00ED2C85">
        <w:t>interesting</w:t>
      </w:r>
      <w:proofErr w:type="gramEnd"/>
      <w:r w:rsidR="00ED2C85">
        <w:t xml:space="preserve"> and attractive landscape</w:t>
      </w:r>
      <w:r>
        <w:t>.</w:t>
      </w:r>
      <w:r w:rsidR="003E34AF">
        <w:t xml:space="preserve">  The Proposed Development is located within Landscape Character Area (LCA) 2 – The Shannon Estuary</w:t>
      </w:r>
      <w:r w:rsidR="00F626A0">
        <w:t xml:space="preserve"> and has a medium to high landscape sensitivity</w:t>
      </w:r>
      <w:r w:rsidR="00E87A2D">
        <w:t>.</w:t>
      </w:r>
      <w:r w:rsidR="001905AE">
        <w:t xml:space="preserve">  </w:t>
      </w:r>
    </w:p>
    <w:p w14:paraId="65BEADA8" w14:textId="595410E7" w:rsidR="00ED2C85" w:rsidRPr="00497182" w:rsidRDefault="000F69F9" w:rsidP="007B0C64">
      <w:pPr>
        <w:pStyle w:val="BBody1"/>
        <w:numPr>
          <w:ilvl w:val="0"/>
          <w:numId w:val="0"/>
        </w:numPr>
        <w:jc w:val="both"/>
      </w:pPr>
      <w:r>
        <w:t xml:space="preserve">The presence of the estuary is the defining characteristic of the region.  </w:t>
      </w:r>
      <w:r w:rsidR="001905AE">
        <w:t>The EIAR describes the</w:t>
      </w:r>
      <w:r w:rsidR="009C7E13">
        <w:t xml:space="preserve"> Development Plan</w:t>
      </w:r>
      <w:r w:rsidR="001905AE">
        <w:t xml:space="preserve"> landscape</w:t>
      </w:r>
      <w:r w:rsidR="00643B8E">
        <w:t xml:space="preserve"> and seascape</w:t>
      </w:r>
      <w:r w:rsidR="001905AE">
        <w:t xml:space="preserve"> characteristics for County </w:t>
      </w:r>
      <w:r w:rsidR="009C7E13">
        <w:t xml:space="preserve">Kerry, County </w:t>
      </w:r>
      <w:proofErr w:type="gramStart"/>
      <w:r w:rsidR="001905AE">
        <w:t>Clare</w:t>
      </w:r>
      <w:proofErr w:type="gramEnd"/>
      <w:r w:rsidR="009C7E13">
        <w:t xml:space="preserve"> and</w:t>
      </w:r>
      <w:r w:rsidR="001905AE">
        <w:t xml:space="preserve"> County</w:t>
      </w:r>
      <w:r w:rsidR="009C7E13">
        <w:t xml:space="preserve"> Limerick, as they relate to the assessment of the proposed development.</w:t>
      </w:r>
      <w:r w:rsidR="001905AE">
        <w:t xml:space="preserve"> </w:t>
      </w:r>
      <w:r w:rsidR="005C5D6F">
        <w:t xml:space="preserve">The National Marine Planning Framework (NMPF) </w:t>
      </w:r>
      <w:r w:rsidR="00623AD3">
        <w:t>planning policies in relation to seascape and landscape are also addressed as part of the assessment.</w:t>
      </w:r>
    </w:p>
    <w:p w14:paraId="6EACFC86" w14:textId="77777777" w:rsidR="00324116" w:rsidRDefault="00324116" w:rsidP="00324116">
      <w:pPr>
        <w:pStyle w:val="Heading2"/>
      </w:pPr>
      <w:r>
        <w:t>Potential Effects</w:t>
      </w:r>
    </w:p>
    <w:p w14:paraId="7D608E73" w14:textId="6142768F" w:rsidR="00324116" w:rsidRPr="00EB28E7" w:rsidRDefault="00324116" w:rsidP="00324116">
      <w:pPr>
        <w:jc w:val="both"/>
        <w:rPr>
          <w:rFonts w:ascii="Arial" w:hAnsi="Arial" w:cs="Arial"/>
          <w:sz w:val="24"/>
          <w:szCs w:val="24"/>
        </w:rPr>
      </w:pPr>
      <w:r w:rsidRPr="00E10034">
        <w:rPr>
          <w:rFonts w:ascii="Arial" w:hAnsi="Arial" w:cs="Arial"/>
          <w:sz w:val="24"/>
          <w:szCs w:val="24"/>
        </w:rPr>
        <w:t xml:space="preserve">Likely significant effects of the development, as identified in the EIAR are summarised in Table </w:t>
      </w:r>
      <w:r w:rsidR="00957736">
        <w:rPr>
          <w:rFonts w:ascii="Arial" w:hAnsi="Arial" w:cs="Arial"/>
          <w:sz w:val="24"/>
          <w:szCs w:val="24"/>
        </w:rPr>
        <w:t>11</w:t>
      </w:r>
      <w:r w:rsidRPr="00E10034">
        <w:rPr>
          <w:rFonts w:ascii="Arial" w:hAnsi="Arial" w:cs="Arial"/>
          <w:sz w:val="24"/>
          <w:szCs w:val="24"/>
        </w:rPr>
        <w:t>.1 below.</w:t>
      </w:r>
    </w:p>
    <w:tbl>
      <w:tblPr>
        <w:tblStyle w:val="TableGrid"/>
        <w:tblW w:w="0" w:type="auto"/>
        <w:tblLook w:val="04A0" w:firstRow="1" w:lastRow="0" w:firstColumn="1" w:lastColumn="0" w:noHBand="0" w:noVBand="1"/>
      </w:tblPr>
      <w:tblGrid>
        <w:gridCol w:w="9016"/>
      </w:tblGrid>
      <w:tr w:rsidR="00324116" w:rsidRPr="00E10034" w14:paraId="1A2B8340" w14:textId="77777777" w:rsidTr="0015339A">
        <w:tc>
          <w:tcPr>
            <w:tcW w:w="9016" w:type="dxa"/>
            <w:shd w:val="clear" w:color="auto" w:fill="BFBFBF" w:themeFill="background1" w:themeFillShade="BF"/>
          </w:tcPr>
          <w:p w14:paraId="7C45BB33" w14:textId="2D98ACD3" w:rsidR="00324116" w:rsidRPr="009B6529" w:rsidRDefault="00324116" w:rsidP="0015339A">
            <w:pPr>
              <w:tabs>
                <w:tab w:val="center" w:pos="4400"/>
              </w:tabs>
              <w:jc w:val="both"/>
              <w:rPr>
                <w:rFonts w:ascii="Arial" w:hAnsi="Arial" w:cs="Arial"/>
                <w:b/>
                <w:bCs/>
              </w:rPr>
            </w:pPr>
            <w:r w:rsidRPr="009B6529">
              <w:rPr>
                <w:rFonts w:ascii="Arial" w:hAnsi="Arial" w:cs="Arial"/>
                <w:b/>
                <w:bCs/>
              </w:rPr>
              <w:t>Table</w:t>
            </w:r>
            <w:r w:rsidR="00957736" w:rsidRPr="009B6529">
              <w:rPr>
                <w:rFonts w:ascii="Arial" w:hAnsi="Arial" w:cs="Arial"/>
                <w:b/>
                <w:bCs/>
              </w:rPr>
              <w:t xml:space="preserve"> 11</w:t>
            </w:r>
            <w:r w:rsidRPr="009B6529">
              <w:rPr>
                <w:rFonts w:ascii="Arial" w:hAnsi="Arial" w:cs="Arial"/>
                <w:b/>
                <w:bCs/>
              </w:rPr>
              <w:t>.1:  Summary of Potential Effects (</w:t>
            </w:r>
            <w:r w:rsidR="00957736" w:rsidRPr="009B6529">
              <w:rPr>
                <w:rFonts w:ascii="Arial" w:hAnsi="Arial" w:cs="Arial"/>
                <w:b/>
                <w:bCs/>
              </w:rPr>
              <w:t>Landscape &amp; Visual</w:t>
            </w:r>
            <w:r w:rsidRPr="009B6529">
              <w:rPr>
                <w:rFonts w:ascii="Arial" w:hAnsi="Arial" w:cs="Arial"/>
                <w:b/>
                <w:bCs/>
              </w:rPr>
              <w:t>)</w:t>
            </w:r>
          </w:p>
        </w:tc>
      </w:tr>
      <w:tr w:rsidR="00324116" w:rsidRPr="00E10034" w14:paraId="292179A0" w14:textId="77777777" w:rsidTr="0015339A">
        <w:tc>
          <w:tcPr>
            <w:tcW w:w="9016" w:type="dxa"/>
            <w:shd w:val="clear" w:color="auto" w:fill="D9D9D9" w:themeFill="background1" w:themeFillShade="D9"/>
          </w:tcPr>
          <w:p w14:paraId="1256DB23" w14:textId="77777777" w:rsidR="00324116" w:rsidRPr="009B6529" w:rsidRDefault="00324116" w:rsidP="0015339A">
            <w:pPr>
              <w:tabs>
                <w:tab w:val="center" w:pos="4400"/>
              </w:tabs>
              <w:jc w:val="both"/>
              <w:rPr>
                <w:rFonts w:ascii="Arial" w:hAnsi="Arial" w:cs="Arial"/>
              </w:rPr>
            </w:pPr>
            <w:r w:rsidRPr="009B6529">
              <w:rPr>
                <w:rFonts w:ascii="Arial" w:hAnsi="Arial" w:cs="Arial"/>
                <w:b/>
                <w:bCs/>
              </w:rPr>
              <w:t>Do Nothing</w:t>
            </w:r>
            <w:r w:rsidRPr="009B6529">
              <w:rPr>
                <w:rFonts w:ascii="Arial" w:hAnsi="Arial" w:cs="Arial"/>
                <w:b/>
                <w:bCs/>
              </w:rPr>
              <w:tab/>
            </w:r>
          </w:p>
        </w:tc>
      </w:tr>
      <w:tr w:rsidR="00324116" w:rsidRPr="00E10034" w14:paraId="4B0A6514" w14:textId="77777777" w:rsidTr="0015339A">
        <w:tc>
          <w:tcPr>
            <w:tcW w:w="9016" w:type="dxa"/>
          </w:tcPr>
          <w:p w14:paraId="15F29ADA" w14:textId="6DF1B194" w:rsidR="00F33634" w:rsidRPr="009B6529" w:rsidRDefault="00853033" w:rsidP="00C6208E">
            <w:pPr>
              <w:pStyle w:val="ListParagraph"/>
              <w:numPr>
                <w:ilvl w:val="0"/>
                <w:numId w:val="41"/>
              </w:numPr>
              <w:spacing w:after="0" w:line="240" w:lineRule="auto"/>
              <w:jc w:val="both"/>
              <w:rPr>
                <w:sz w:val="22"/>
                <w:szCs w:val="22"/>
              </w:rPr>
            </w:pPr>
            <w:r w:rsidRPr="009B6529">
              <w:rPr>
                <w:sz w:val="22"/>
                <w:szCs w:val="22"/>
              </w:rPr>
              <w:t xml:space="preserve">In landscape terms, if the Proposed Development did not go ahead, the character of the Site will remain an industrial brownfield site with areas of scrub. </w:t>
            </w:r>
          </w:p>
          <w:p w14:paraId="344B6264" w14:textId="0846BCA9" w:rsidR="00324116" w:rsidRPr="009B6529" w:rsidRDefault="00853033" w:rsidP="00C6208E">
            <w:pPr>
              <w:pStyle w:val="ListParagraph"/>
              <w:numPr>
                <w:ilvl w:val="0"/>
                <w:numId w:val="41"/>
              </w:numPr>
              <w:spacing w:after="0" w:line="240" w:lineRule="auto"/>
              <w:jc w:val="both"/>
              <w:rPr>
                <w:sz w:val="22"/>
                <w:szCs w:val="22"/>
              </w:rPr>
            </w:pPr>
            <w:r w:rsidRPr="009B6529">
              <w:rPr>
                <w:sz w:val="22"/>
                <w:szCs w:val="22"/>
              </w:rPr>
              <w:t>In visual terms, the industrial components in available views will remain similar without significant changes to the visual amenity.</w:t>
            </w:r>
            <w:r w:rsidR="009A3409" w:rsidRPr="009B6529">
              <w:rPr>
                <w:sz w:val="22"/>
                <w:szCs w:val="22"/>
              </w:rPr>
              <w:t xml:space="preserve"> </w:t>
            </w:r>
            <w:r w:rsidRPr="009B6529">
              <w:rPr>
                <w:sz w:val="22"/>
                <w:szCs w:val="22"/>
              </w:rPr>
              <w:t xml:space="preserve"> Likely changes will relate to changes to the existing vegetation due to maturing, pruning or natural development / decay. The significance will be Imperceptible and Neutral.</w:t>
            </w:r>
          </w:p>
        </w:tc>
      </w:tr>
      <w:tr w:rsidR="00324116" w:rsidRPr="00E10034" w14:paraId="3C3625D1" w14:textId="77777777" w:rsidTr="0015339A">
        <w:tc>
          <w:tcPr>
            <w:tcW w:w="9016" w:type="dxa"/>
            <w:shd w:val="clear" w:color="auto" w:fill="D9D9D9" w:themeFill="background1" w:themeFillShade="D9"/>
          </w:tcPr>
          <w:p w14:paraId="68D4866E" w14:textId="298A0245" w:rsidR="00324116" w:rsidRPr="009B6529" w:rsidRDefault="00324116" w:rsidP="0015339A">
            <w:pPr>
              <w:jc w:val="both"/>
              <w:rPr>
                <w:rFonts w:ascii="Arial" w:hAnsi="Arial" w:cs="Arial"/>
              </w:rPr>
            </w:pPr>
            <w:r w:rsidRPr="009B6529">
              <w:rPr>
                <w:rFonts w:ascii="Arial" w:hAnsi="Arial" w:cs="Arial"/>
                <w:b/>
                <w:bCs/>
              </w:rPr>
              <w:t>Construction</w:t>
            </w:r>
            <w:r w:rsidR="00E540E9" w:rsidRPr="009B6529">
              <w:rPr>
                <w:rFonts w:ascii="Arial" w:hAnsi="Arial" w:cs="Arial"/>
                <w:b/>
                <w:bCs/>
              </w:rPr>
              <w:t xml:space="preserve"> Impacts</w:t>
            </w:r>
          </w:p>
        </w:tc>
      </w:tr>
      <w:tr w:rsidR="00324116" w:rsidRPr="00E10034" w14:paraId="6C6B4AB0" w14:textId="77777777" w:rsidTr="0015339A">
        <w:tc>
          <w:tcPr>
            <w:tcW w:w="9016" w:type="dxa"/>
          </w:tcPr>
          <w:p w14:paraId="543C58BA" w14:textId="0359A27F" w:rsidR="00684F40" w:rsidRPr="009B6529" w:rsidRDefault="00684F40" w:rsidP="007879F6">
            <w:pPr>
              <w:jc w:val="both"/>
              <w:rPr>
                <w:rFonts w:ascii="Arial" w:hAnsi="Arial" w:cs="Arial"/>
                <w:b/>
                <w:bCs/>
                <w:u w:val="single"/>
              </w:rPr>
            </w:pPr>
            <w:r w:rsidRPr="009B6529">
              <w:rPr>
                <w:rFonts w:ascii="Arial" w:hAnsi="Arial" w:cs="Arial"/>
                <w:b/>
                <w:bCs/>
                <w:u w:val="single"/>
              </w:rPr>
              <w:t>Landscape Effects</w:t>
            </w:r>
          </w:p>
          <w:p w14:paraId="66F88E38" w14:textId="796935A8" w:rsidR="005A301B" w:rsidRPr="009B6529" w:rsidRDefault="005A301B" w:rsidP="007879F6">
            <w:pPr>
              <w:jc w:val="both"/>
              <w:rPr>
                <w:rFonts w:ascii="Arial" w:hAnsi="Arial" w:cs="Arial"/>
              </w:rPr>
            </w:pPr>
            <w:r w:rsidRPr="009B6529">
              <w:rPr>
                <w:rFonts w:ascii="Arial" w:hAnsi="Arial" w:cs="Arial"/>
              </w:rPr>
              <w:t xml:space="preserve">Construction effects on the landscape character resulting from the Proposed Development will be direct and indirect, mainly temporary, and result from the following: </w:t>
            </w:r>
          </w:p>
          <w:p w14:paraId="21903263" w14:textId="68CD0870" w:rsidR="007879F6" w:rsidRPr="003E0B7F" w:rsidRDefault="005A301B" w:rsidP="003E0B7F">
            <w:pPr>
              <w:pStyle w:val="ListParagraph"/>
              <w:numPr>
                <w:ilvl w:val="0"/>
                <w:numId w:val="41"/>
              </w:numPr>
              <w:spacing w:after="0" w:line="240" w:lineRule="auto"/>
              <w:jc w:val="both"/>
              <w:rPr>
                <w:sz w:val="22"/>
                <w:szCs w:val="22"/>
              </w:rPr>
            </w:pPr>
            <w:r w:rsidRPr="009B6529">
              <w:rPr>
                <w:sz w:val="22"/>
                <w:szCs w:val="22"/>
              </w:rPr>
              <w:t>Loss of existing vegetation and habitat</w:t>
            </w:r>
            <w:r w:rsidR="003E0B7F" w:rsidRPr="003E0B7F">
              <w:rPr>
                <w:sz w:val="22"/>
                <w:szCs w:val="22"/>
              </w:rPr>
              <w:t xml:space="preserve">.  </w:t>
            </w:r>
            <w:r w:rsidRPr="003E0B7F">
              <w:rPr>
                <w:sz w:val="22"/>
                <w:szCs w:val="22"/>
              </w:rPr>
              <w:t>Soil stripping, earthworks, grading.</w:t>
            </w:r>
          </w:p>
          <w:p w14:paraId="06EEF301" w14:textId="23238BD7" w:rsidR="007879F6" w:rsidRPr="003E0B7F" w:rsidRDefault="005A301B" w:rsidP="00C6208E">
            <w:pPr>
              <w:pStyle w:val="ListParagraph"/>
              <w:numPr>
                <w:ilvl w:val="0"/>
                <w:numId w:val="41"/>
              </w:numPr>
              <w:spacing w:after="0" w:line="240" w:lineRule="auto"/>
              <w:jc w:val="both"/>
              <w:rPr>
                <w:sz w:val="22"/>
                <w:szCs w:val="22"/>
              </w:rPr>
            </w:pPr>
            <w:r w:rsidRPr="003E0B7F">
              <w:rPr>
                <w:sz w:val="22"/>
                <w:szCs w:val="22"/>
              </w:rPr>
              <w:t xml:space="preserve">Effects of temporary to short-term site infrastructure such as site traffic, construction compounds, soil storage areas etc. especially those located in areas close to visual receptors. </w:t>
            </w:r>
          </w:p>
          <w:p w14:paraId="52051841" w14:textId="77777777" w:rsidR="00324116" w:rsidRPr="009B6529" w:rsidRDefault="005A301B" w:rsidP="00C6208E">
            <w:pPr>
              <w:pStyle w:val="ListParagraph"/>
              <w:numPr>
                <w:ilvl w:val="0"/>
                <w:numId w:val="41"/>
              </w:numPr>
              <w:spacing w:after="0" w:line="240" w:lineRule="auto"/>
              <w:jc w:val="both"/>
              <w:rPr>
                <w:sz w:val="22"/>
                <w:szCs w:val="22"/>
              </w:rPr>
            </w:pPr>
            <w:r w:rsidRPr="009B6529">
              <w:rPr>
                <w:sz w:val="22"/>
                <w:szCs w:val="22"/>
              </w:rPr>
              <w:t>Physical effects arising from construction of the Proposed Development will be confined to the Site.</w:t>
            </w:r>
          </w:p>
          <w:p w14:paraId="57421B63" w14:textId="77777777" w:rsidR="006A0A01" w:rsidRPr="009B6529" w:rsidRDefault="006A0A01" w:rsidP="006A0A01">
            <w:pPr>
              <w:jc w:val="both"/>
              <w:rPr>
                <w:rFonts w:ascii="Arial" w:hAnsi="Arial" w:cs="Arial"/>
              </w:rPr>
            </w:pPr>
            <w:r w:rsidRPr="009B6529">
              <w:rPr>
                <w:rFonts w:ascii="Arial" w:hAnsi="Arial" w:cs="Arial"/>
              </w:rPr>
              <w:t>The magnitude of landscape change during construction is considered Low and the resulting significance/quality is Slight / Adverse.</w:t>
            </w:r>
            <w:r w:rsidR="00304190" w:rsidRPr="009B6529">
              <w:rPr>
                <w:rFonts w:ascii="Arial" w:hAnsi="Arial" w:cs="Arial"/>
              </w:rPr>
              <w:t xml:space="preserve">  Indirect effects </w:t>
            </w:r>
            <w:r w:rsidR="00684F40" w:rsidRPr="009B6529">
              <w:rPr>
                <w:rFonts w:ascii="Arial" w:hAnsi="Arial" w:cs="Arial"/>
              </w:rPr>
              <w:t xml:space="preserve">from outside the site </w:t>
            </w:r>
            <w:r w:rsidR="00B65385" w:rsidRPr="009B6529">
              <w:rPr>
                <w:rFonts w:ascii="Arial" w:hAnsi="Arial" w:cs="Arial"/>
              </w:rPr>
              <w:t>are considered</w:t>
            </w:r>
            <w:r w:rsidR="00684F40" w:rsidRPr="009B6529">
              <w:rPr>
                <w:rFonts w:ascii="Arial" w:hAnsi="Arial" w:cs="Arial"/>
              </w:rPr>
              <w:t xml:space="preserve"> Slight/Neutral.</w:t>
            </w:r>
            <w:r w:rsidR="00B65385" w:rsidRPr="009B6529">
              <w:rPr>
                <w:rFonts w:ascii="Arial" w:hAnsi="Arial" w:cs="Arial"/>
              </w:rPr>
              <w:t xml:space="preserve"> </w:t>
            </w:r>
          </w:p>
          <w:p w14:paraId="63F80010" w14:textId="77777777" w:rsidR="004F79B2" w:rsidRPr="009B6529" w:rsidRDefault="004F79B2" w:rsidP="006A0A01">
            <w:pPr>
              <w:jc w:val="both"/>
              <w:rPr>
                <w:rFonts w:ascii="Arial" w:hAnsi="Arial" w:cs="Arial"/>
              </w:rPr>
            </w:pPr>
          </w:p>
          <w:p w14:paraId="371773C4" w14:textId="77777777" w:rsidR="00684F40" w:rsidRPr="009B6529" w:rsidRDefault="00684F40" w:rsidP="006A0A01">
            <w:pPr>
              <w:jc w:val="both"/>
              <w:rPr>
                <w:rFonts w:ascii="Arial" w:hAnsi="Arial" w:cs="Arial"/>
                <w:b/>
                <w:bCs/>
                <w:u w:val="single"/>
              </w:rPr>
            </w:pPr>
            <w:r w:rsidRPr="009B6529">
              <w:rPr>
                <w:rFonts w:ascii="Arial" w:hAnsi="Arial" w:cs="Arial"/>
                <w:b/>
                <w:bCs/>
                <w:u w:val="single"/>
              </w:rPr>
              <w:t>Seascape Effects</w:t>
            </w:r>
          </w:p>
          <w:p w14:paraId="27D54C46" w14:textId="56D4CB01" w:rsidR="00FD3588" w:rsidRPr="009B6529" w:rsidRDefault="00FD3588" w:rsidP="00C6208E">
            <w:pPr>
              <w:pStyle w:val="ListParagraph"/>
              <w:numPr>
                <w:ilvl w:val="0"/>
                <w:numId w:val="48"/>
              </w:numPr>
              <w:spacing w:after="0" w:line="240" w:lineRule="auto"/>
              <w:jc w:val="both"/>
              <w:rPr>
                <w:sz w:val="22"/>
                <w:szCs w:val="22"/>
              </w:rPr>
            </w:pPr>
            <w:r w:rsidRPr="009B6529">
              <w:rPr>
                <w:sz w:val="22"/>
                <w:szCs w:val="22"/>
              </w:rPr>
              <w:lastRenderedPageBreak/>
              <w:t xml:space="preserve">Direct </w:t>
            </w:r>
            <w:r w:rsidR="006E0FA1" w:rsidRPr="009B6529">
              <w:rPr>
                <w:sz w:val="22"/>
                <w:szCs w:val="22"/>
              </w:rPr>
              <w:t>Effects as a result from construction works on the seascape character are considered medium and their significance / quality will be Moderate / Adverse within the Site.</w:t>
            </w:r>
            <w:r w:rsidR="006822A4" w:rsidRPr="009B6529">
              <w:rPr>
                <w:sz w:val="22"/>
                <w:szCs w:val="22"/>
              </w:rPr>
              <w:t xml:space="preserve"> </w:t>
            </w:r>
          </w:p>
          <w:p w14:paraId="1D0BAD95" w14:textId="237A96A3" w:rsidR="00684F40" w:rsidRPr="009B6529" w:rsidRDefault="00FD3588" w:rsidP="00C6208E">
            <w:pPr>
              <w:pStyle w:val="ListParagraph"/>
              <w:numPr>
                <w:ilvl w:val="0"/>
                <w:numId w:val="48"/>
              </w:numPr>
              <w:spacing w:after="0" w:line="240" w:lineRule="auto"/>
              <w:jc w:val="both"/>
              <w:rPr>
                <w:sz w:val="22"/>
                <w:szCs w:val="22"/>
              </w:rPr>
            </w:pPr>
            <w:r w:rsidRPr="009B6529">
              <w:rPr>
                <w:sz w:val="22"/>
                <w:szCs w:val="22"/>
              </w:rPr>
              <w:t xml:space="preserve">Indirect </w:t>
            </w:r>
            <w:r w:rsidR="006822A4" w:rsidRPr="009B6529">
              <w:rPr>
                <w:sz w:val="22"/>
                <w:szCs w:val="22"/>
              </w:rPr>
              <w:t>Effects</w:t>
            </w:r>
            <w:r w:rsidR="00B876F5" w:rsidRPr="009B6529">
              <w:rPr>
                <w:sz w:val="22"/>
                <w:szCs w:val="22"/>
              </w:rPr>
              <w:t xml:space="preserve"> </w:t>
            </w:r>
            <w:r w:rsidR="006822A4" w:rsidRPr="009B6529">
              <w:rPr>
                <w:sz w:val="22"/>
                <w:szCs w:val="22"/>
              </w:rPr>
              <w:t>on the seascape character are</w:t>
            </w:r>
            <w:r w:rsidR="00B876F5" w:rsidRPr="009B6529">
              <w:rPr>
                <w:sz w:val="22"/>
                <w:szCs w:val="22"/>
              </w:rPr>
              <w:t xml:space="preserve"> </w:t>
            </w:r>
            <w:r w:rsidR="006822A4" w:rsidRPr="009B6529">
              <w:rPr>
                <w:sz w:val="22"/>
                <w:szCs w:val="22"/>
              </w:rPr>
              <w:t>considered low and their significance / quality will be Slight / Adverse within approximately</w:t>
            </w:r>
            <w:r w:rsidR="00B876F5" w:rsidRPr="009B6529">
              <w:rPr>
                <w:sz w:val="22"/>
                <w:szCs w:val="22"/>
              </w:rPr>
              <w:t xml:space="preserve"> </w:t>
            </w:r>
            <w:r w:rsidR="006822A4" w:rsidRPr="009B6529">
              <w:rPr>
                <w:sz w:val="22"/>
                <w:szCs w:val="22"/>
              </w:rPr>
              <w:t>4km radius from the Site boundary. Beyond 4km, the magnitude of seascape character effects will reduce to very low and their significance / quality to Not Significant / Neutral.</w:t>
            </w:r>
          </w:p>
          <w:p w14:paraId="3FA56105" w14:textId="77777777" w:rsidR="004F79B2" w:rsidRPr="009B6529" w:rsidRDefault="004F79B2" w:rsidP="004F79B2">
            <w:pPr>
              <w:pStyle w:val="ListParagraph"/>
              <w:spacing w:after="0" w:line="240" w:lineRule="auto"/>
              <w:jc w:val="both"/>
              <w:rPr>
                <w:sz w:val="22"/>
                <w:szCs w:val="22"/>
              </w:rPr>
            </w:pPr>
          </w:p>
          <w:p w14:paraId="070A0CFE" w14:textId="6B4C243F" w:rsidR="00154D8E" w:rsidRPr="009B6529" w:rsidRDefault="00154D8E" w:rsidP="006822A4">
            <w:pPr>
              <w:jc w:val="both"/>
              <w:rPr>
                <w:rFonts w:ascii="Arial" w:hAnsi="Arial" w:cs="Arial"/>
                <w:b/>
                <w:bCs/>
                <w:u w:val="single"/>
              </w:rPr>
            </w:pPr>
            <w:r w:rsidRPr="009B6529">
              <w:rPr>
                <w:rFonts w:ascii="Arial" w:hAnsi="Arial" w:cs="Arial"/>
                <w:b/>
                <w:bCs/>
                <w:u w:val="single"/>
              </w:rPr>
              <w:t>Visual Effects</w:t>
            </w:r>
          </w:p>
          <w:p w14:paraId="09A7260C" w14:textId="1D603998" w:rsidR="00684F40" w:rsidRPr="003E0B7F" w:rsidRDefault="00672E4B" w:rsidP="003E0B7F">
            <w:pPr>
              <w:pStyle w:val="ListParagraph"/>
              <w:numPr>
                <w:ilvl w:val="0"/>
                <w:numId w:val="49"/>
              </w:numPr>
              <w:spacing w:after="0" w:line="240" w:lineRule="auto"/>
              <w:jc w:val="both"/>
              <w:rPr>
                <w:sz w:val="22"/>
                <w:szCs w:val="22"/>
              </w:rPr>
            </w:pPr>
            <w:r w:rsidRPr="003E0B7F">
              <w:rPr>
                <w:sz w:val="22"/>
                <w:szCs w:val="22"/>
              </w:rPr>
              <w:t>Visual effects during the construction stage will be experienced in the vicinity of the Site, from locations with open views of sections of the Proposed Development</w:t>
            </w:r>
            <w:r w:rsidR="003E0B7F" w:rsidRPr="003E0B7F">
              <w:rPr>
                <w:sz w:val="22"/>
                <w:szCs w:val="22"/>
              </w:rPr>
              <w:t xml:space="preserve">.  </w:t>
            </w:r>
            <w:r w:rsidR="00EB782C" w:rsidRPr="003E0B7F">
              <w:rPr>
                <w:sz w:val="22"/>
                <w:szCs w:val="22"/>
              </w:rPr>
              <w:t>The visibility of construction activities in these views will be short term. The magnitude of visual change will range from medium to low in short and middle-distance views. Their significance / quality will range from Significant / Adverse to Slight / Neutral.</w:t>
            </w:r>
          </w:p>
        </w:tc>
      </w:tr>
      <w:tr w:rsidR="00324116" w:rsidRPr="00E10034" w14:paraId="57A8487D" w14:textId="77777777" w:rsidTr="0015339A">
        <w:tc>
          <w:tcPr>
            <w:tcW w:w="9016" w:type="dxa"/>
            <w:shd w:val="clear" w:color="auto" w:fill="D9D9D9" w:themeFill="background1" w:themeFillShade="D9"/>
          </w:tcPr>
          <w:p w14:paraId="6B1D21D8" w14:textId="77777777" w:rsidR="00324116" w:rsidRPr="009B6529" w:rsidRDefault="00324116" w:rsidP="0015339A">
            <w:pPr>
              <w:jc w:val="both"/>
              <w:rPr>
                <w:rFonts w:ascii="Arial" w:hAnsi="Arial" w:cs="Arial"/>
              </w:rPr>
            </w:pPr>
            <w:r w:rsidRPr="009B6529">
              <w:rPr>
                <w:rFonts w:ascii="Arial" w:hAnsi="Arial" w:cs="Arial"/>
                <w:b/>
                <w:bCs/>
              </w:rPr>
              <w:lastRenderedPageBreak/>
              <w:t>Operational Impacts</w:t>
            </w:r>
          </w:p>
        </w:tc>
      </w:tr>
      <w:tr w:rsidR="00324116" w:rsidRPr="00E10034" w14:paraId="6F9F7EC7" w14:textId="77777777" w:rsidTr="0015339A">
        <w:tc>
          <w:tcPr>
            <w:tcW w:w="9016" w:type="dxa"/>
          </w:tcPr>
          <w:p w14:paraId="0190D223" w14:textId="77777777" w:rsidR="00FA278D" w:rsidRPr="009B6529" w:rsidRDefault="00FA278D" w:rsidP="00FA278D">
            <w:pPr>
              <w:jc w:val="both"/>
              <w:rPr>
                <w:rFonts w:ascii="Arial" w:hAnsi="Arial" w:cs="Arial"/>
                <w:b/>
                <w:bCs/>
                <w:u w:val="single"/>
              </w:rPr>
            </w:pPr>
            <w:r w:rsidRPr="009B6529">
              <w:rPr>
                <w:rFonts w:ascii="Arial" w:hAnsi="Arial" w:cs="Arial"/>
                <w:b/>
                <w:bCs/>
                <w:u w:val="single"/>
              </w:rPr>
              <w:t>Landscape Effects</w:t>
            </w:r>
          </w:p>
          <w:p w14:paraId="38B094B3" w14:textId="313145B8" w:rsidR="00FA278D" w:rsidRPr="003E0B7F" w:rsidRDefault="009D102B" w:rsidP="003E0B7F">
            <w:pPr>
              <w:pStyle w:val="ListParagraph"/>
              <w:numPr>
                <w:ilvl w:val="0"/>
                <w:numId w:val="41"/>
              </w:numPr>
              <w:spacing w:after="0" w:line="240" w:lineRule="auto"/>
              <w:jc w:val="both"/>
              <w:rPr>
                <w:sz w:val="22"/>
                <w:szCs w:val="22"/>
              </w:rPr>
            </w:pPr>
            <w:r w:rsidRPr="009B6529">
              <w:rPr>
                <w:sz w:val="22"/>
                <w:szCs w:val="22"/>
              </w:rPr>
              <w:t xml:space="preserve">The Proposed Development will slightly intensify the existing industrial character of the Site but not alter the landscape character locally or in the wider study area due to its scale, nature, and location adjacent to the existing Tarbert HFO Power Station, which will remain the most prominent industrial feature along the southern shoreline of the Shannon </w:t>
            </w:r>
            <w:r w:rsidRPr="003E0B7F">
              <w:rPr>
                <w:sz w:val="22"/>
                <w:szCs w:val="22"/>
              </w:rPr>
              <w:t xml:space="preserve">Estuary. The magnitude of landscape change during operation is considered Low, within an area of medium to high landscape value with high sensitivity. The resulting significance / quality is </w:t>
            </w:r>
            <w:r w:rsidRPr="003E0B7F">
              <w:rPr>
                <w:b/>
                <w:bCs/>
                <w:sz w:val="22"/>
                <w:szCs w:val="22"/>
              </w:rPr>
              <w:t>Not Significant / Neutral.</w:t>
            </w:r>
          </w:p>
          <w:p w14:paraId="2032AA12" w14:textId="77777777" w:rsidR="004F79B2" w:rsidRDefault="004F79B2" w:rsidP="00FA278D">
            <w:pPr>
              <w:jc w:val="both"/>
              <w:rPr>
                <w:rFonts w:ascii="Arial" w:hAnsi="Arial" w:cs="Arial"/>
                <w:b/>
                <w:bCs/>
                <w:u w:val="single"/>
              </w:rPr>
            </w:pPr>
          </w:p>
          <w:p w14:paraId="17A5D7D2" w14:textId="77777777" w:rsidR="000352B3" w:rsidRPr="009B6529" w:rsidRDefault="000352B3" w:rsidP="00FA278D">
            <w:pPr>
              <w:jc w:val="both"/>
              <w:rPr>
                <w:rFonts w:ascii="Arial" w:hAnsi="Arial" w:cs="Arial"/>
                <w:b/>
                <w:bCs/>
                <w:u w:val="single"/>
              </w:rPr>
            </w:pPr>
          </w:p>
          <w:p w14:paraId="55A623FE" w14:textId="5758C297" w:rsidR="00FA278D" w:rsidRPr="009B6529" w:rsidRDefault="00FA278D" w:rsidP="00FA278D">
            <w:pPr>
              <w:jc w:val="both"/>
              <w:rPr>
                <w:rFonts w:ascii="Arial" w:hAnsi="Arial" w:cs="Arial"/>
                <w:b/>
                <w:bCs/>
                <w:u w:val="single"/>
              </w:rPr>
            </w:pPr>
            <w:r w:rsidRPr="009B6529">
              <w:rPr>
                <w:rFonts w:ascii="Arial" w:hAnsi="Arial" w:cs="Arial"/>
                <w:b/>
                <w:bCs/>
                <w:u w:val="single"/>
              </w:rPr>
              <w:t>Seascape Effects</w:t>
            </w:r>
          </w:p>
          <w:p w14:paraId="5FD7C629" w14:textId="77777777" w:rsidR="00CA5263" w:rsidRPr="009B6529" w:rsidRDefault="00CA5263" w:rsidP="00C6208E">
            <w:pPr>
              <w:pStyle w:val="ListParagraph"/>
              <w:numPr>
                <w:ilvl w:val="0"/>
                <w:numId w:val="50"/>
              </w:numPr>
              <w:spacing w:after="0" w:line="240" w:lineRule="auto"/>
              <w:jc w:val="both"/>
              <w:rPr>
                <w:sz w:val="22"/>
                <w:szCs w:val="22"/>
              </w:rPr>
            </w:pPr>
            <w:r w:rsidRPr="009B6529">
              <w:rPr>
                <w:sz w:val="22"/>
                <w:szCs w:val="22"/>
              </w:rPr>
              <w:t>Direct effects on the Regional Seascape Character Type 2: Large Estuary, and Regional Seascape Character Area SCA8: Shannon Estuary and Tralee Bay at operation are considered Low and their significance / quality will be Slight / Adverse. The Proposed Development will intensify the industrial character of SSE Tarbert.</w:t>
            </w:r>
          </w:p>
          <w:p w14:paraId="47F6D8FB" w14:textId="50555766" w:rsidR="003C558D" w:rsidRPr="009B6529" w:rsidRDefault="003C558D" w:rsidP="00C6208E">
            <w:pPr>
              <w:pStyle w:val="ListParagraph"/>
              <w:numPr>
                <w:ilvl w:val="0"/>
                <w:numId w:val="50"/>
              </w:numPr>
              <w:spacing w:after="0" w:line="240" w:lineRule="auto"/>
              <w:jc w:val="both"/>
              <w:rPr>
                <w:sz w:val="22"/>
                <w:szCs w:val="22"/>
              </w:rPr>
            </w:pPr>
            <w:r w:rsidRPr="009B6529">
              <w:rPr>
                <w:sz w:val="22"/>
                <w:szCs w:val="22"/>
              </w:rPr>
              <w:t xml:space="preserve">Outside of the Site boundary, the seascape character of either RSCA designation will not alter due to the nature, </w:t>
            </w:r>
            <w:proofErr w:type="gramStart"/>
            <w:r w:rsidRPr="009B6529">
              <w:rPr>
                <w:sz w:val="22"/>
                <w:szCs w:val="22"/>
              </w:rPr>
              <w:t>scale</w:t>
            </w:r>
            <w:proofErr w:type="gramEnd"/>
            <w:r w:rsidRPr="009B6529">
              <w:rPr>
                <w:sz w:val="22"/>
                <w:szCs w:val="22"/>
              </w:rPr>
              <w:t xml:space="preserve"> and location of the Proposed Development. </w:t>
            </w:r>
          </w:p>
          <w:p w14:paraId="0BA51835" w14:textId="5C7B7232" w:rsidR="000C5F2C" w:rsidRPr="009B6529" w:rsidRDefault="00D432D0" w:rsidP="00C6208E">
            <w:pPr>
              <w:pStyle w:val="ListParagraph"/>
              <w:numPr>
                <w:ilvl w:val="0"/>
                <w:numId w:val="50"/>
              </w:numPr>
              <w:spacing w:after="0" w:line="240" w:lineRule="auto"/>
              <w:jc w:val="both"/>
              <w:rPr>
                <w:sz w:val="22"/>
                <w:szCs w:val="22"/>
              </w:rPr>
            </w:pPr>
            <w:r w:rsidRPr="009B6529">
              <w:rPr>
                <w:sz w:val="22"/>
                <w:szCs w:val="22"/>
              </w:rPr>
              <w:t xml:space="preserve">Table 10.12 of the EIAR provides a </w:t>
            </w:r>
            <w:r w:rsidR="00C9564E" w:rsidRPr="009B6529">
              <w:rPr>
                <w:sz w:val="22"/>
                <w:szCs w:val="22"/>
              </w:rPr>
              <w:t>Summary of Landscape and Seascape Effects at Operation.</w:t>
            </w:r>
          </w:p>
          <w:p w14:paraId="192D363C" w14:textId="77777777" w:rsidR="00CA5263" w:rsidRPr="009B6529" w:rsidRDefault="00CA5263" w:rsidP="00FA278D">
            <w:pPr>
              <w:jc w:val="both"/>
              <w:rPr>
                <w:rFonts w:ascii="Arial" w:hAnsi="Arial" w:cs="Arial"/>
              </w:rPr>
            </w:pPr>
          </w:p>
          <w:p w14:paraId="08447105" w14:textId="64D73D2B" w:rsidR="00FA278D" w:rsidRPr="009B6529" w:rsidRDefault="00FA278D" w:rsidP="00FA278D">
            <w:pPr>
              <w:jc w:val="both"/>
              <w:rPr>
                <w:rFonts w:ascii="Arial" w:hAnsi="Arial" w:cs="Arial"/>
                <w:b/>
                <w:bCs/>
                <w:u w:val="single"/>
              </w:rPr>
            </w:pPr>
            <w:r w:rsidRPr="009B6529">
              <w:rPr>
                <w:rFonts w:ascii="Arial" w:hAnsi="Arial" w:cs="Arial"/>
                <w:b/>
                <w:bCs/>
                <w:u w:val="single"/>
              </w:rPr>
              <w:t>Visual Effects</w:t>
            </w:r>
          </w:p>
          <w:p w14:paraId="7750940A" w14:textId="77777777" w:rsidR="00DA1919" w:rsidRPr="009B6529" w:rsidRDefault="00035AC3" w:rsidP="00C6208E">
            <w:pPr>
              <w:pStyle w:val="ListParagraph"/>
              <w:numPr>
                <w:ilvl w:val="0"/>
                <w:numId w:val="41"/>
              </w:numPr>
              <w:spacing w:after="0" w:line="240" w:lineRule="auto"/>
              <w:jc w:val="both"/>
              <w:rPr>
                <w:sz w:val="22"/>
                <w:szCs w:val="22"/>
              </w:rPr>
            </w:pPr>
            <w:r w:rsidRPr="009B6529">
              <w:rPr>
                <w:sz w:val="22"/>
                <w:szCs w:val="22"/>
              </w:rPr>
              <w:t xml:space="preserve">The main visual receptor groups are residents, vehicle travellers including ferry / ship passengers, </w:t>
            </w:r>
            <w:proofErr w:type="gramStart"/>
            <w:r w:rsidRPr="009B6529">
              <w:rPr>
                <w:sz w:val="22"/>
                <w:szCs w:val="22"/>
              </w:rPr>
              <w:t>workers</w:t>
            </w:r>
            <w:proofErr w:type="gramEnd"/>
            <w:r w:rsidRPr="009B6529">
              <w:rPr>
                <w:sz w:val="22"/>
                <w:szCs w:val="22"/>
              </w:rPr>
              <w:t xml:space="preserve"> and visitors.  The immediate surrounding of the Site is sparsely populated. The closest residential dwellings in the immediate environment of the Proposed Development are located off the N67 and approximately 350m south of the Tarbert HFO Power Station.</w:t>
            </w:r>
          </w:p>
          <w:p w14:paraId="6DF1C856" w14:textId="10B99A51" w:rsidR="00324116" w:rsidRPr="009B6529" w:rsidRDefault="00DA1919" w:rsidP="00C6208E">
            <w:pPr>
              <w:pStyle w:val="ListParagraph"/>
              <w:numPr>
                <w:ilvl w:val="0"/>
                <w:numId w:val="41"/>
              </w:numPr>
              <w:spacing w:after="0" w:line="240" w:lineRule="auto"/>
              <w:jc w:val="both"/>
              <w:rPr>
                <w:sz w:val="22"/>
                <w:szCs w:val="22"/>
              </w:rPr>
            </w:pPr>
            <w:r w:rsidRPr="009B6529">
              <w:rPr>
                <w:sz w:val="22"/>
                <w:szCs w:val="22"/>
              </w:rPr>
              <w:t>The Proposed Development will add an industrial facility adjacent to the prominent existing Tarbert HFO Power Station. It will be seen in all available views in conjunction with the more prominent Tarbert HFO Power Station. In that respect, and considering the zoning of the site for industry, the proposed development is not uncharacteristic in available views. However, it will intensify slightly the industrial character of estuarine views. It will create a new point of focus in available close distance views (within approximately 1km of the Site).</w:t>
            </w:r>
            <w:r w:rsidR="00915B3F" w:rsidRPr="009B6529">
              <w:rPr>
                <w:sz w:val="22"/>
                <w:szCs w:val="22"/>
              </w:rPr>
              <w:t xml:space="preserve">  </w:t>
            </w:r>
            <w:r w:rsidR="00F808D4">
              <w:rPr>
                <w:sz w:val="22"/>
                <w:szCs w:val="22"/>
              </w:rPr>
              <w:t>T</w:t>
            </w:r>
            <w:r w:rsidR="0083033D" w:rsidRPr="009B6529">
              <w:rPr>
                <w:sz w:val="22"/>
                <w:szCs w:val="22"/>
              </w:rPr>
              <w:t>he Proposed Development will not be out of character. Visual effects are considered to range from very low to low and the significance / quality from Imperceptible / Neutral to Slight / Neutral depending on the distance and panoramic nature of the views.</w:t>
            </w:r>
            <w:r w:rsidR="00324116" w:rsidRPr="009B6529">
              <w:rPr>
                <w:sz w:val="22"/>
                <w:szCs w:val="22"/>
              </w:rPr>
              <w:t xml:space="preserve"> </w:t>
            </w:r>
          </w:p>
        </w:tc>
      </w:tr>
      <w:tr w:rsidR="00324116" w:rsidRPr="00E10034" w14:paraId="3BA40BAD" w14:textId="77777777" w:rsidTr="0015339A">
        <w:tc>
          <w:tcPr>
            <w:tcW w:w="9016" w:type="dxa"/>
            <w:shd w:val="clear" w:color="auto" w:fill="D9D9D9" w:themeFill="background1" w:themeFillShade="D9"/>
          </w:tcPr>
          <w:p w14:paraId="54CF9C17" w14:textId="76D28E90" w:rsidR="00324116" w:rsidRPr="009B6529" w:rsidRDefault="00324116" w:rsidP="0015339A">
            <w:pPr>
              <w:jc w:val="both"/>
              <w:rPr>
                <w:rFonts w:ascii="Arial" w:hAnsi="Arial" w:cs="Arial"/>
              </w:rPr>
            </w:pPr>
            <w:r w:rsidRPr="009B6529">
              <w:rPr>
                <w:rFonts w:ascii="Arial" w:hAnsi="Arial" w:cs="Arial"/>
                <w:b/>
                <w:bCs/>
              </w:rPr>
              <w:t>Decommissioning</w:t>
            </w:r>
            <w:r w:rsidR="00E540E9" w:rsidRPr="009B6529">
              <w:rPr>
                <w:rFonts w:ascii="Arial" w:hAnsi="Arial" w:cs="Arial"/>
                <w:b/>
                <w:bCs/>
              </w:rPr>
              <w:t xml:space="preserve"> Impacts</w:t>
            </w:r>
          </w:p>
        </w:tc>
      </w:tr>
      <w:tr w:rsidR="00324116" w:rsidRPr="00E10034" w14:paraId="5EA0E1B4" w14:textId="77777777" w:rsidTr="0015339A">
        <w:tc>
          <w:tcPr>
            <w:tcW w:w="9016" w:type="dxa"/>
          </w:tcPr>
          <w:p w14:paraId="1F60C637" w14:textId="26468E24" w:rsidR="00324116" w:rsidRPr="009B6529" w:rsidRDefault="00851968" w:rsidP="00C6208E">
            <w:pPr>
              <w:pStyle w:val="ListParagraph"/>
              <w:numPr>
                <w:ilvl w:val="0"/>
                <w:numId w:val="41"/>
              </w:numPr>
              <w:spacing w:after="0" w:line="240" w:lineRule="auto"/>
              <w:jc w:val="both"/>
              <w:rPr>
                <w:sz w:val="22"/>
                <w:szCs w:val="22"/>
              </w:rPr>
            </w:pPr>
            <w:r>
              <w:rPr>
                <w:sz w:val="22"/>
                <w:szCs w:val="22"/>
              </w:rPr>
              <w:t>D</w:t>
            </w:r>
            <w:r w:rsidR="00B64D55" w:rsidRPr="009B6529">
              <w:rPr>
                <w:sz w:val="22"/>
                <w:szCs w:val="22"/>
              </w:rPr>
              <w:t xml:space="preserve">ecommissioning </w:t>
            </w:r>
            <w:r>
              <w:rPr>
                <w:sz w:val="22"/>
                <w:szCs w:val="22"/>
              </w:rPr>
              <w:t>Impacts similar</w:t>
            </w:r>
            <w:r w:rsidR="0053617E">
              <w:rPr>
                <w:sz w:val="22"/>
                <w:szCs w:val="22"/>
              </w:rPr>
              <w:t xml:space="preserve"> nature and duration</w:t>
            </w:r>
            <w:r>
              <w:rPr>
                <w:sz w:val="22"/>
                <w:szCs w:val="22"/>
              </w:rPr>
              <w:t xml:space="preserve"> to Construction Impacts</w:t>
            </w:r>
            <w:r w:rsidR="0053617E">
              <w:rPr>
                <w:sz w:val="22"/>
                <w:szCs w:val="22"/>
              </w:rPr>
              <w:t>.</w:t>
            </w:r>
          </w:p>
        </w:tc>
      </w:tr>
      <w:tr w:rsidR="00324116" w:rsidRPr="00E10034" w14:paraId="54A8C975" w14:textId="77777777" w:rsidTr="0015339A">
        <w:trPr>
          <w:trHeight w:val="163"/>
        </w:trPr>
        <w:tc>
          <w:tcPr>
            <w:tcW w:w="9016" w:type="dxa"/>
            <w:shd w:val="clear" w:color="auto" w:fill="D9D9D9" w:themeFill="background1" w:themeFillShade="D9"/>
          </w:tcPr>
          <w:p w14:paraId="5CFF994B" w14:textId="77777777" w:rsidR="00324116" w:rsidRPr="009B6529" w:rsidRDefault="00324116" w:rsidP="0015339A">
            <w:pPr>
              <w:jc w:val="both"/>
              <w:rPr>
                <w:rFonts w:ascii="Arial" w:hAnsi="Arial" w:cs="Arial"/>
              </w:rPr>
            </w:pPr>
            <w:r w:rsidRPr="009B6529">
              <w:rPr>
                <w:rFonts w:ascii="Arial" w:hAnsi="Arial" w:cs="Arial"/>
                <w:b/>
                <w:bCs/>
              </w:rPr>
              <w:t>Cumulative Impacts</w:t>
            </w:r>
          </w:p>
        </w:tc>
      </w:tr>
      <w:tr w:rsidR="00324116" w:rsidRPr="00E10034" w14:paraId="038C0D4B" w14:textId="77777777" w:rsidTr="0015339A">
        <w:tc>
          <w:tcPr>
            <w:tcW w:w="9016" w:type="dxa"/>
          </w:tcPr>
          <w:p w14:paraId="6A4566F7" w14:textId="12AA9F28" w:rsidR="00324116" w:rsidRPr="009B6529" w:rsidRDefault="008C488C" w:rsidP="00C6208E">
            <w:pPr>
              <w:pStyle w:val="ListParagraph"/>
              <w:numPr>
                <w:ilvl w:val="0"/>
                <w:numId w:val="43"/>
              </w:numPr>
              <w:spacing w:after="0" w:line="240" w:lineRule="auto"/>
              <w:jc w:val="both"/>
              <w:rPr>
                <w:sz w:val="22"/>
                <w:szCs w:val="22"/>
              </w:rPr>
            </w:pPr>
            <w:r w:rsidRPr="009B6529">
              <w:rPr>
                <w:sz w:val="22"/>
                <w:szCs w:val="22"/>
              </w:rPr>
              <w:lastRenderedPageBreak/>
              <w:t>Cumulative Effects are described in Section 10.5.3 of the EIAR.</w:t>
            </w:r>
            <w:r w:rsidR="00164D7E" w:rsidRPr="009B6529">
              <w:rPr>
                <w:sz w:val="22"/>
                <w:szCs w:val="22"/>
              </w:rPr>
              <w:t xml:space="preserve">  </w:t>
            </w:r>
            <w:r w:rsidR="009C3846" w:rsidRPr="009B6529">
              <w:rPr>
                <w:sz w:val="22"/>
                <w:szCs w:val="22"/>
              </w:rPr>
              <w:t xml:space="preserve">Nine applications </w:t>
            </w:r>
            <w:r w:rsidR="009049FA" w:rsidRPr="009B6529">
              <w:rPr>
                <w:sz w:val="22"/>
                <w:szCs w:val="22"/>
              </w:rPr>
              <w:t xml:space="preserve">for the purposes of cumulative developments </w:t>
            </w:r>
            <w:r w:rsidR="009C3846" w:rsidRPr="009B6529">
              <w:rPr>
                <w:sz w:val="22"/>
                <w:szCs w:val="22"/>
              </w:rPr>
              <w:t>have been considered</w:t>
            </w:r>
            <w:r w:rsidR="009049FA" w:rsidRPr="009B6529">
              <w:rPr>
                <w:sz w:val="22"/>
                <w:szCs w:val="22"/>
              </w:rPr>
              <w:t>.</w:t>
            </w:r>
            <w:r w:rsidR="009C3846" w:rsidRPr="009B6529">
              <w:rPr>
                <w:sz w:val="22"/>
                <w:szCs w:val="22"/>
              </w:rPr>
              <w:t xml:space="preserve"> </w:t>
            </w:r>
            <w:r w:rsidR="009049FA" w:rsidRPr="009B6529">
              <w:rPr>
                <w:sz w:val="22"/>
                <w:szCs w:val="22"/>
              </w:rPr>
              <w:t>Based on the Summary Table 10.15</w:t>
            </w:r>
            <w:r w:rsidR="00F379A4" w:rsidRPr="009B6529">
              <w:rPr>
                <w:sz w:val="22"/>
                <w:szCs w:val="22"/>
              </w:rPr>
              <w:t xml:space="preserve">, the effects of eight of the developments are considered </w:t>
            </w:r>
            <w:r w:rsidR="00074C62" w:rsidRPr="009B6529">
              <w:rPr>
                <w:sz w:val="22"/>
                <w:szCs w:val="22"/>
              </w:rPr>
              <w:t xml:space="preserve">Imperceptible/Not Significant/Slight </w:t>
            </w:r>
            <w:r w:rsidR="00A247FA" w:rsidRPr="009B6529">
              <w:rPr>
                <w:sz w:val="22"/>
                <w:szCs w:val="22"/>
              </w:rPr>
              <w:t xml:space="preserve">with one </w:t>
            </w:r>
            <w:r w:rsidR="00282B5A" w:rsidRPr="009B6529">
              <w:rPr>
                <w:sz w:val="22"/>
                <w:szCs w:val="22"/>
              </w:rPr>
              <w:t>having a Moderate / Adverse effect.</w:t>
            </w:r>
            <w:r w:rsidR="00CA4919" w:rsidRPr="009B6529">
              <w:rPr>
                <w:sz w:val="22"/>
                <w:szCs w:val="22"/>
              </w:rPr>
              <w:t xml:space="preserve">  </w:t>
            </w:r>
          </w:p>
        </w:tc>
      </w:tr>
    </w:tbl>
    <w:p w14:paraId="5F4F6F4E" w14:textId="77777777" w:rsidR="00324116" w:rsidRDefault="00324116" w:rsidP="00324116">
      <w:pPr>
        <w:pStyle w:val="Heading2"/>
      </w:pPr>
      <w:r>
        <w:t>Mitigation</w:t>
      </w:r>
    </w:p>
    <w:p w14:paraId="4EC44A2B" w14:textId="79CD85B4" w:rsidR="00692DC1" w:rsidRPr="006A1ECD" w:rsidRDefault="006A1ECD" w:rsidP="0042370C">
      <w:pPr>
        <w:pStyle w:val="BBody1"/>
        <w:numPr>
          <w:ilvl w:val="0"/>
          <w:numId w:val="0"/>
        </w:numPr>
        <w:jc w:val="both"/>
      </w:pPr>
      <w:r>
        <w:t xml:space="preserve">Embedded mitigation measures form an integral, committed, and deliverable part of the Proposed Development design or comprise standard construction practices. They are assumed to be implemented and are therefore factored into the determination of residual significant effects. </w:t>
      </w:r>
      <w:r w:rsidR="001D67B4">
        <w:t>Mitigation measures include m</w:t>
      </w:r>
      <w:r>
        <w:t xml:space="preserve">odifications made to the design of the Proposed Development to avoid and reduce effects include mainly limiting the footprint of the Proposed Development, siting of components, and, where possible, minimise impacts on established vegetation and features that contribute to landscape character and visual amenity. </w:t>
      </w:r>
      <w:r w:rsidR="000150F7">
        <w:t xml:space="preserve"> T</w:t>
      </w:r>
      <w:r>
        <w:t xml:space="preserve">he proposed colour scheme was drawn from colours found in the surrounding local landscape. </w:t>
      </w:r>
      <w:r w:rsidR="00692DC1">
        <w:t xml:space="preserve"> </w:t>
      </w:r>
      <w:r>
        <w:t>The building colours consist generally of a mix between the following four main colours, which range all within a muted light grey and green spectrum.</w:t>
      </w:r>
      <w:r w:rsidR="0042370C">
        <w:t xml:space="preserve">  </w:t>
      </w:r>
      <w:r w:rsidR="00620BD0">
        <w:t>Although not required to reduce any significant adverse effe</w:t>
      </w:r>
      <w:r w:rsidR="00892EAE">
        <w:t>cts</w:t>
      </w:r>
      <w:r w:rsidR="0042370C">
        <w:t>,</w:t>
      </w:r>
      <w:r w:rsidR="00620BD0">
        <w:t xml:space="preserve"> mitigation measures will include good lighting design practice</w:t>
      </w:r>
      <w:r w:rsidR="00892EAE">
        <w:t>.</w:t>
      </w:r>
    </w:p>
    <w:p w14:paraId="6EAA85C7" w14:textId="77777777" w:rsidR="00324116" w:rsidRDefault="00324116" w:rsidP="00324116">
      <w:pPr>
        <w:pStyle w:val="Heading2"/>
      </w:pPr>
      <w:r>
        <w:t>Residual Effects</w:t>
      </w:r>
    </w:p>
    <w:p w14:paraId="56DAB88D" w14:textId="404A3F62" w:rsidR="003777EE" w:rsidRDefault="003777EE" w:rsidP="003777EE">
      <w:pPr>
        <w:pStyle w:val="BBody1"/>
        <w:numPr>
          <w:ilvl w:val="0"/>
          <w:numId w:val="0"/>
        </w:numPr>
        <w:jc w:val="both"/>
      </w:pPr>
      <w:r>
        <w:t>Effective implementation of the proposed embedded mitigation measures, as described in Section 10.6 of the EIAR, will have a beneficial impact and help to minimise landscape and visual effects associated with the Proposed Development. Sensitive design and colouring of the proposed building structures as proposed will help integrat</w:t>
      </w:r>
      <w:r w:rsidR="00194C6D">
        <w:t>e</w:t>
      </w:r>
      <w:r>
        <w:t xml:space="preserve"> the Proposed Development into the surrounding environment.</w:t>
      </w:r>
    </w:p>
    <w:p w14:paraId="1240A419" w14:textId="73FC7B04" w:rsidR="003777EE" w:rsidRDefault="003777EE" w:rsidP="003777EE">
      <w:pPr>
        <w:pStyle w:val="BBody1"/>
        <w:numPr>
          <w:ilvl w:val="0"/>
          <w:numId w:val="0"/>
        </w:numPr>
        <w:jc w:val="both"/>
      </w:pPr>
      <w:r>
        <w:t xml:space="preserve">Given the nature of the Site, the scale and location of the Proposed Development, the mitigation measures focus on architectural mitigation and minimising lighting during night-time. These measures will be implemented immediately and come into effect following the completion of construction works. </w:t>
      </w:r>
    </w:p>
    <w:p w14:paraId="22374547" w14:textId="5908CDCD" w:rsidR="00A614F7" w:rsidRPr="00A614F7" w:rsidRDefault="003777EE" w:rsidP="003777EE">
      <w:pPr>
        <w:pStyle w:val="BBody1"/>
        <w:numPr>
          <w:ilvl w:val="0"/>
          <w:numId w:val="0"/>
        </w:numPr>
        <w:jc w:val="both"/>
      </w:pPr>
      <w:proofErr w:type="gramStart"/>
      <w:r>
        <w:t>The majority of</w:t>
      </w:r>
      <w:proofErr w:type="gramEnd"/>
      <w:r>
        <w:t xml:space="preserve"> visible built structures in available views will remain as at the time of the completion of construction works (façade design and colour scheme, lighting design). </w:t>
      </w:r>
      <w:r w:rsidR="00701A9A">
        <w:t xml:space="preserve"> </w:t>
      </w:r>
      <w:r>
        <w:t xml:space="preserve">The proposed colour scheme will help integrating the Proposed Development </w:t>
      </w:r>
      <w:r>
        <w:lastRenderedPageBreak/>
        <w:t xml:space="preserve">in available views. The magnitude and significance of landscape, seascape and visual effects during the operational phase </w:t>
      </w:r>
      <w:r w:rsidRPr="00CB2D03">
        <w:t xml:space="preserve">will therefore remain </w:t>
      </w:r>
      <w:r w:rsidR="003717CD" w:rsidRPr="00CB2D03">
        <w:t>not significant</w:t>
      </w:r>
      <w:r w:rsidRPr="00CB2D03">
        <w:t>.</w:t>
      </w:r>
    </w:p>
    <w:p w14:paraId="4697D45B" w14:textId="77777777" w:rsidR="00324116" w:rsidRDefault="00324116" w:rsidP="00324116">
      <w:pPr>
        <w:pStyle w:val="Heading2"/>
      </w:pPr>
      <w:r w:rsidRPr="00930FA4">
        <w:t>The Assessment:  Direct and Indirect Effects</w:t>
      </w:r>
    </w:p>
    <w:p w14:paraId="19E8A164" w14:textId="108C2F5B" w:rsidR="006A09B3" w:rsidRDefault="003E0860" w:rsidP="003E0860">
      <w:pPr>
        <w:pStyle w:val="BBody1"/>
        <w:numPr>
          <w:ilvl w:val="0"/>
          <w:numId w:val="0"/>
        </w:numPr>
        <w:jc w:val="both"/>
      </w:pPr>
      <w:r>
        <w:t>There is likely temporary, short-term adverse Landscape</w:t>
      </w:r>
      <w:r w:rsidR="006D0287">
        <w:t>, Seascape</w:t>
      </w:r>
      <w:r>
        <w:t xml:space="preserve"> and Visual effects during the construction and decommissioning stage</w:t>
      </w:r>
      <w:r w:rsidR="00786DD1">
        <w:t>s</w:t>
      </w:r>
      <w:r>
        <w:t xml:space="preserve"> </w:t>
      </w:r>
      <w:r w:rsidR="00786DD1">
        <w:t>due to</w:t>
      </w:r>
      <w:r>
        <w:t xml:space="preserve"> the visibility of construction activities such as </w:t>
      </w:r>
      <w:r w:rsidR="00934054">
        <w:t>movement of machinery, equipment, and site workers</w:t>
      </w:r>
      <w:r w:rsidR="00786DD1">
        <w:t>, c</w:t>
      </w:r>
      <w:r w:rsidR="00934054">
        <w:t>ranes lifting materials and structures into position, and the temporary storage of materials within the Site.</w:t>
      </w:r>
      <w:r w:rsidR="00840582">
        <w:t xml:space="preserve">  These effects will be experienced within the Site</w:t>
      </w:r>
      <w:r w:rsidR="004B6B95">
        <w:t xml:space="preserve"> and from locations with open views of section</w:t>
      </w:r>
      <w:r w:rsidR="00FD289B">
        <w:t>s</w:t>
      </w:r>
      <w:r w:rsidR="004B6B95">
        <w:t xml:space="preserve"> of the Proposed Development</w:t>
      </w:r>
      <w:r w:rsidR="0049249B">
        <w:t>.</w:t>
      </w:r>
      <w:r w:rsidR="002A09C6">
        <w:t xml:space="preserve">  From locations outside the site the impact will not be significant</w:t>
      </w:r>
      <w:r w:rsidR="00B92F96">
        <w:t xml:space="preserve"> as the existing Tarbert HFO Power Station compound is already prominent in the landscape.</w:t>
      </w:r>
      <w:r w:rsidR="002A09C6">
        <w:t xml:space="preserve">  </w:t>
      </w:r>
      <w:r w:rsidR="0042370C">
        <w:t>The impacts will be of</w:t>
      </w:r>
      <w:r w:rsidR="0012642C">
        <w:t xml:space="preserve"> a short-term temporary duration, with no significant adver</w:t>
      </w:r>
      <w:r w:rsidR="00FD289B">
        <w:t>se</w:t>
      </w:r>
      <w:r w:rsidR="00A56FDA">
        <w:t xml:space="preserve"> long-term</w:t>
      </w:r>
      <w:r w:rsidR="0012642C">
        <w:t xml:space="preserve"> impacts anticipated.</w:t>
      </w:r>
    </w:p>
    <w:p w14:paraId="6F8315AC" w14:textId="6BB6DAC9" w:rsidR="008F36A4" w:rsidRDefault="004B6B95" w:rsidP="003E0860">
      <w:pPr>
        <w:pStyle w:val="BBody1"/>
        <w:numPr>
          <w:ilvl w:val="0"/>
          <w:numId w:val="0"/>
        </w:numPr>
        <w:jc w:val="both"/>
      </w:pPr>
      <w:r>
        <w:t>There</w:t>
      </w:r>
      <w:r w:rsidR="00CD2226">
        <w:t xml:space="preserve"> is potential for</w:t>
      </w:r>
      <w:r w:rsidR="00A5567F">
        <w:t xml:space="preserve"> a slight</w:t>
      </w:r>
      <w:r w:rsidR="00CD2226">
        <w:t xml:space="preserve"> </w:t>
      </w:r>
      <w:r w:rsidR="0060541B">
        <w:t>Landscape, Seascape and V</w:t>
      </w:r>
      <w:r w:rsidR="00CD2226">
        <w:t>isual impact during the operation</w:t>
      </w:r>
      <w:r w:rsidR="00F0589F">
        <w:t>al</w:t>
      </w:r>
      <w:r w:rsidR="00CD2226">
        <w:t xml:space="preserve"> phase associated</w:t>
      </w:r>
      <w:r w:rsidR="00C252C2">
        <w:t xml:space="preserve"> with </w:t>
      </w:r>
      <w:r w:rsidR="007167C3">
        <w:t xml:space="preserve">the </w:t>
      </w:r>
      <w:r w:rsidR="00C252C2">
        <w:t xml:space="preserve">intensification </w:t>
      </w:r>
      <w:r w:rsidR="00E455A7">
        <w:t xml:space="preserve">of the existing industrial character of the Site.  I </w:t>
      </w:r>
      <w:r w:rsidR="00676A17">
        <w:t>consider the proposed development will integrate into the existing industrial character of the site</w:t>
      </w:r>
      <w:r w:rsidR="00186831">
        <w:t xml:space="preserve"> and seascape</w:t>
      </w:r>
      <w:r w:rsidR="00676A17">
        <w:t xml:space="preserve"> dominated by the existing </w:t>
      </w:r>
      <w:r w:rsidR="001129C0">
        <w:t>Tarbert HFO Power Station and Moneypoint Power Structures.</w:t>
      </w:r>
      <w:r w:rsidR="00963695">
        <w:t xml:space="preserve"> I am satisfied that the proposed development </w:t>
      </w:r>
      <w:r w:rsidR="0048744C">
        <w:t xml:space="preserve">is not uncharacteristic of the existing industrial landscape </w:t>
      </w:r>
      <w:r w:rsidR="00274C75">
        <w:t xml:space="preserve">at Tarbert Island </w:t>
      </w:r>
      <w:r w:rsidR="0048744C">
        <w:t xml:space="preserve">and </w:t>
      </w:r>
      <w:r w:rsidR="00274C75">
        <w:t xml:space="preserve">the </w:t>
      </w:r>
      <w:r w:rsidR="0048744C">
        <w:t>seascape setting</w:t>
      </w:r>
      <w:r w:rsidR="008C421A">
        <w:t xml:space="preserve"> in that location</w:t>
      </w:r>
      <w:r w:rsidR="00AE4A05">
        <w:t xml:space="preserve">.  </w:t>
      </w:r>
    </w:p>
    <w:p w14:paraId="3068A601" w14:textId="38C0FEF4" w:rsidR="0012642C" w:rsidRDefault="004D1E8E" w:rsidP="003E0860">
      <w:pPr>
        <w:pStyle w:val="BBody1"/>
        <w:numPr>
          <w:ilvl w:val="0"/>
          <w:numId w:val="0"/>
        </w:numPr>
        <w:jc w:val="both"/>
      </w:pPr>
      <w:r>
        <w:t>Chapter 10.6 of the EIAR sets out mitigation measures to reduce visual effects, which will come into effect on completion of construction works.  The building façade colours pick up existing colours of the landscape across the estuary and its hinterland</w:t>
      </w:r>
      <w:r w:rsidR="008F36A4">
        <w:t>,</w:t>
      </w:r>
      <w:r>
        <w:t xml:space="preserve"> against which the Proposed Development built structures will be seen in </w:t>
      </w:r>
      <w:proofErr w:type="gramStart"/>
      <w:r>
        <w:t>the majority of</w:t>
      </w:r>
      <w:proofErr w:type="gramEnd"/>
      <w:r>
        <w:t xml:space="preserve"> views.  The lighting plan will ensure there </w:t>
      </w:r>
      <w:r w:rsidR="00E663FB">
        <w:t xml:space="preserve">will be </w:t>
      </w:r>
      <w:r>
        <w:t xml:space="preserve">no glare </w:t>
      </w:r>
      <w:r w:rsidR="00E22AFE">
        <w:t xml:space="preserve">and other lighting </w:t>
      </w:r>
      <w:r>
        <w:t xml:space="preserve">issues and will adhere will good lighting design practice.  </w:t>
      </w:r>
      <w:r w:rsidR="00AE4A05">
        <w:t>I consider the m</w:t>
      </w:r>
      <w:r>
        <w:t>itigation measures</w:t>
      </w:r>
      <w:r w:rsidR="00AE4A05">
        <w:t xml:space="preserve"> proposed will enable the OCGT’s successful integration into the existing </w:t>
      </w:r>
      <w:r w:rsidR="00BC2BE5">
        <w:t>industrial area</w:t>
      </w:r>
      <w:r w:rsidR="00AE4A05">
        <w:t>.</w:t>
      </w:r>
    </w:p>
    <w:p w14:paraId="642D230B" w14:textId="770F7283" w:rsidR="008E7F53" w:rsidRDefault="006361C8" w:rsidP="008E7F53">
      <w:pPr>
        <w:pStyle w:val="BBody1"/>
        <w:numPr>
          <w:ilvl w:val="0"/>
          <w:numId w:val="0"/>
        </w:numPr>
        <w:jc w:val="both"/>
      </w:pPr>
      <w:r w:rsidRPr="008611DB">
        <w:t xml:space="preserve">I have visited the site and its environs and have examined the Landscape and Visual Chapter </w:t>
      </w:r>
      <w:r w:rsidR="00E22AFE">
        <w:t xml:space="preserve">10 </w:t>
      </w:r>
      <w:r w:rsidRPr="008611DB">
        <w:t xml:space="preserve">and accompanying Figures and Appendices (Photomontages).  </w:t>
      </w:r>
      <w:r w:rsidR="00F77F29">
        <w:t>I am satisfied the proposed development will not significantly alter the industrial character of the Site and its immediate surrounds</w:t>
      </w:r>
      <w:r w:rsidR="000A4E54">
        <w:t>.</w:t>
      </w:r>
      <w:r w:rsidR="00F77F29">
        <w:t xml:space="preserve"> </w:t>
      </w:r>
    </w:p>
    <w:p w14:paraId="1E5142AD" w14:textId="77D6A968" w:rsidR="00324116" w:rsidRPr="008E7F53" w:rsidRDefault="00324116" w:rsidP="008E7F53">
      <w:pPr>
        <w:pStyle w:val="Heading2"/>
      </w:pPr>
      <w:r w:rsidRPr="008E7F53">
        <w:lastRenderedPageBreak/>
        <w:t>Conclusion:  Direct and Indirect Effects (</w:t>
      </w:r>
      <w:r w:rsidR="008E7F53">
        <w:t>Landscape and Visual</w:t>
      </w:r>
      <w:r w:rsidRPr="008E7F53">
        <w:t>)</w:t>
      </w:r>
    </w:p>
    <w:p w14:paraId="043CEB61" w14:textId="7CF4F9F9" w:rsidR="00A307B0" w:rsidRDefault="00CF4E65" w:rsidP="00CF4E65">
      <w:pPr>
        <w:pStyle w:val="BBody1"/>
        <w:numPr>
          <w:ilvl w:val="0"/>
          <w:numId w:val="0"/>
        </w:numPr>
        <w:jc w:val="both"/>
      </w:pPr>
      <w:r>
        <w:t xml:space="preserve">Having reviewed the </w:t>
      </w:r>
      <w:r w:rsidR="00521D5D">
        <w:t xml:space="preserve">EIAR and Planning </w:t>
      </w:r>
      <w:r w:rsidR="00833910">
        <w:t>Documentation</w:t>
      </w:r>
      <w:r>
        <w:t>, based on the inherent design</w:t>
      </w:r>
      <w:r w:rsidR="000C0BF3">
        <w:t>, the existing industrial character of the baseline environment</w:t>
      </w:r>
      <w:r>
        <w:t xml:space="preserve"> and the mitigation proposed in the EIAR, I am satisfied that the visual impact on the surrounding landscape</w:t>
      </w:r>
      <w:r w:rsidR="00833910">
        <w:t>, seascape</w:t>
      </w:r>
      <w:r>
        <w:t xml:space="preserve"> and views towards the site would not have any significant adverse impacts on the landscape or visual amenity.  </w:t>
      </w:r>
    </w:p>
    <w:p w14:paraId="3E572109" w14:textId="0F3E6C42" w:rsidR="00E86688" w:rsidRPr="00E9683D" w:rsidRDefault="00061F57" w:rsidP="00E86688">
      <w:pPr>
        <w:pStyle w:val="EHead1"/>
      </w:pPr>
      <w:bookmarkStart w:id="50" w:name="_Toc171346790"/>
      <w:r>
        <w:t>Noise and Vibration</w:t>
      </w:r>
      <w:bookmarkEnd w:id="50"/>
    </w:p>
    <w:p w14:paraId="2F9B386D" w14:textId="77777777" w:rsidR="00E86688" w:rsidRDefault="00E86688" w:rsidP="00E86688">
      <w:pPr>
        <w:pStyle w:val="Heading2"/>
      </w:pPr>
      <w:r>
        <w:t>Issues Raised</w:t>
      </w:r>
    </w:p>
    <w:p w14:paraId="6496EECC" w14:textId="362AFCD8" w:rsidR="002C1773" w:rsidRDefault="00E113EC" w:rsidP="00FE10A5">
      <w:pPr>
        <w:pStyle w:val="BBody1"/>
        <w:numPr>
          <w:ilvl w:val="0"/>
          <w:numId w:val="0"/>
        </w:numPr>
        <w:jc w:val="both"/>
      </w:pPr>
      <w:r>
        <w:t xml:space="preserve">KCC </w:t>
      </w:r>
      <w:r w:rsidR="0055556F">
        <w:t xml:space="preserve">and the HSE </w:t>
      </w:r>
      <w:r>
        <w:t xml:space="preserve">have requested that </w:t>
      </w:r>
      <w:r w:rsidR="00FE10A5">
        <w:t xml:space="preserve">a </w:t>
      </w:r>
      <w:r>
        <w:t xml:space="preserve">condition </w:t>
      </w:r>
      <w:r w:rsidR="00F576C8">
        <w:t>should be attached to any grant of permission for a CEMP to include mitigation for</w:t>
      </w:r>
      <w:r w:rsidR="00FE10A5">
        <w:t xml:space="preserve"> noise control measures</w:t>
      </w:r>
      <w:r w:rsidR="00A3037E">
        <w:t>, the preparation</w:t>
      </w:r>
      <w:r w:rsidR="00ED5EF6">
        <w:t xml:space="preserve"> Noise &amp; Vibration Management Plan </w:t>
      </w:r>
      <w:r w:rsidR="006443A0">
        <w:t xml:space="preserve">for the development works </w:t>
      </w:r>
      <w:r w:rsidR="001B0B95">
        <w:t>and specifi</w:t>
      </w:r>
      <w:r w:rsidR="00A3037E">
        <w:t xml:space="preserve">c </w:t>
      </w:r>
      <w:r w:rsidR="001B0B95">
        <w:t>condition</w:t>
      </w:r>
      <w:r w:rsidR="00A3037E">
        <w:t>s relating to noise nuisance</w:t>
      </w:r>
      <w:r w:rsidR="004E6110">
        <w:t xml:space="preserve"> and noise monitoring</w:t>
      </w:r>
      <w:r w:rsidR="002E2286">
        <w:t xml:space="preserve"> at noise sensitive </w:t>
      </w:r>
      <w:proofErr w:type="gramStart"/>
      <w:r w:rsidR="002E2286">
        <w:t>receptors</w:t>
      </w:r>
      <w:proofErr w:type="gramEnd"/>
      <w:r w:rsidR="002E2286">
        <w:t xml:space="preserve"> locations to ensure compliance.</w:t>
      </w:r>
      <w:r w:rsidR="007E5639">
        <w:t xml:space="preserve">  The HSE recommends that there is a clear route for the local community to </w:t>
      </w:r>
      <w:r w:rsidR="00BD4123">
        <w:t>provide feedback or complaints in relation to noise.</w:t>
      </w:r>
      <w:r w:rsidR="0057168E">
        <w:t xml:space="preserve">  The Applicant has </w:t>
      </w:r>
      <w:r w:rsidR="000E07C5">
        <w:t xml:space="preserve">noted that they have </w:t>
      </w:r>
      <w:r w:rsidR="0057168E">
        <w:t xml:space="preserve">an appointed Community Liaison Officer to engage with </w:t>
      </w:r>
      <w:r w:rsidR="000E07C5">
        <w:t>the local community.</w:t>
      </w:r>
    </w:p>
    <w:p w14:paraId="0A9DE8BA" w14:textId="77777777" w:rsidR="00E86688" w:rsidRDefault="00E86688" w:rsidP="002C1773">
      <w:pPr>
        <w:pStyle w:val="Heading2"/>
      </w:pPr>
      <w:r w:rsidRPr="00302D10">
        <w:t>Context</w:t>
      </w:r>
    </w:p>
    <w:p w14:paraId="10CB9A5A" w14:textId="1D3DFB98" w:rsidR="00975E3C" w:rsidRPr="002C1773" w:rsidRDefault="002C1773" w:rsidP="00811863">
      <w:pPr>
        <w:pStyle w:val="BBody1"/>
        <w:numPr>
          <w:ilvl w:val="0"/>
          <w:numId w:val="0"/>
        </w:numPr>
        <w:jc w:val="both"/>
      </w:pPr>
      <w:r>
        <w:t>EIAR Chapter 11</w:t>
      </w:r>
      <w:r w:rsidR="003239DB">
        <w:t xml:space="preserve"> with associated Figures</w:t>
      </w:r>
      <w:r w:rsidR="00811863">
        <w:t xml:space="preserve"> (11.1 – 11.4)</w:t>
      </w:r>
      <w:r w:rsidR="003239DB">
        <w:t xml:space="preserve"> and Appendices (11A &amp; 11B)</w:t>
      </w:r>
      <w:r w:rsidR="00811863">
        <w:t>, has assessed the potential impacts on noise and vibration during construction, operational and decommissioning phases.</w:t>
      </w:r>
      <w:r w:rsidR="00BC2E37">
        <w:t xml:space="preserve">  </w:t>
      </w:r>
      <w:r w:rsidR="00975E3C">
        <w:t xml:space="preserve">The EIAR describes the methodology used, the baseline conditions, the mitigation measures proposed and any residual impacts following adoption of mitigation measures.  </w:t>
      </w:r>
    </w:p>
    <w:p w14:paraId="159CCC34" w14:textId="77777777" w:rsidR="00E86688" w:rsidRDefault="00E86688" w:rsidP="00E86688">
      <w:pPr>
        <w:pStyle w:val="Heading3"/>
      </w:pPr>
      <w:r>
        <w:t>Baseline</w:t>
      </w:r>
    </w:p>
    <w:p w14:paraId="1053D606" w14:textId="0B0B1F4C" w:rsidR="00070D27" w:rsidRDefault="00153C32" w:rsidP="00290E31">
      <w:pPr>
        <w:pStyle w:val="BBody1"/>
        <w:numPr>
          <w:ilvl w:val="0"/>
          <w:numId w:val="0"/>
        </w:numPr>
        <w:jc w:val="both"/>
      </w:pPr>
      <w:r>
        <w:t xml:space="preserve">The baseline </w:t>
      </w:r>
      <w:r w:rsidR="00DD7B69">
        <w:t>acoustic environment has been determined via several long-term surveys conducted in and around the site.</w:t>
      </w:r>
      <w:r w:rsidR="00070D27">
        <w:t xml:space="preserve">  </w:t>
      </w:r>
      <w:r w:rsidR="008512D9">
        <w:t xml:space="preserve">Vibration effects were scoped out of the assessment as the intervening distance </w:t>
      </w:r>
      <w:r w:rsidR="00586C70">
        <w:t xml:space="preserve">to sensitive receptors </w:t>
      </w:r>
      <w:r w:rsidR="008512D9">
        <w:t>was considered large enough for vibration impacts not to be significant.</w:t>
      </w:r>
      <w:r w:rsidR="00D250B2">
        <w:t xml:space="preserve">  The impact of construction phase noise and vibration emissions on habitats and species of Special Areas of </w:t>
      </w:r>
      <w:r w:rsidR="00D250B2">
        <w:lastRenderedPageBreak/>
        <w:t>Conservation (SAC) and other ecological receptor positions are discussed in Chapter 9 (Biodiversity)</w:t>
      </w:r>
      <w:r w:rsidR="00070D27">
        <w:t xml:space="preserve"> of the EIAR</w:t>
      </w:r>
      <w:r w:rsidR="00D250B2">
        <w:t>.</w:t>
      </w:r>
      <w:r w:rsidR="00290E31">
        <w:t xml:space="preserve">  </w:t>
      </w:r>
      <w:r w:rsidR="009B55B5" w:rsidRPr="00BB7FBA">
        <w:t xml:space="preserve">The Proposed Development has been assessed </w:t>
      </w:r>
      <w:proofErr w:type="gramStart"/>
      <w:r w:rsidR="009B55B5" w:rsidRPr="00BB7FBA">
        <w:t>with regard to</w:t>
      </w:r>
      <w:proofErr w:type="gramEnd"/>
      <w:r w:rsidR="009B55B5" w:rsidRPr="00BB7FBA">
        <w:t xml:space="preserve"> the Short-term impacts during the construction and decommissioning phase</w:t>
      </w:r>
      <w:r w:rsidR="00776974">
        <w:t xml:space="preserve">, the </w:t>
      </w:r>
      <w:r w:rsidR="009B55B5" w:rsidRPr="00BB7FBA">
        <w:t>Long-term impacts during the operational phase; and Noise generated by changes to traffic flows on existing roads</w:t>
      </w:r>
      <w:r w:rsidR="00290E31">
        <w:t xml:space="preserve">, the </w:t>
      </w:r>
      <w:r w:rsidR="009B55B5" w:rsidRPr="00BB7FBA">
        <w:t>Cumulative impacts including the Proposed Development and: The Temporary Emergency Generator (TEG); SSE Battery Energy Storage Site (BESS); and EirGrid re-cabling Development</w:t>
      </w:r>
      <w:r w:rsidR="00785F1D">
        <w:t>.</w:t>
      </w:r>
    </w:p>
    <w:p w14:paraId="4C790985" w14:textId="266874C1" w:rsidR="00E86688" w:rsidRDefault="00E86688" w:rsidP="00070D27">
      <w:pPr>
        <w:pStyle w:val="Heading2"/>
      </w:pPr>
      <w:r>
        <w:t>Potential Effects</w:t>
      </w:r>
    </w:p>
    <w:p w14:paraId="2ADC26F5" w14:textId="30BA191D" w:rsidR="00776974" w:rsidRPr="00EB28E7" w:rsidRDefault="00E86688" w:rsidP="00832458">
      <w:pPr>
        <w:pStyle w:val="BBody1"/>
        <w:numPr>
          <w:ilvl w:val="0"/>
          <w:numId w:val="0"/>
        </w:numPr>
        <w:jc w:val="both"/>
      </w:pPr>
      <w:r w:rsidRPr="00E10034">
        <w:t xml:space="preserve">Likely significant effects of the development, as identified in the EIAR are summarised in Table </w:t>
      </w:r>
      <w:r>
        <w:t>1</w:t>
      </w:r>
      <w:r w:rsidR="00B73947">
        <w:t>2</w:t>
      </w:r>
      <w:r w:rsidRPr="00E10034">
        <w:t>.1 below.</w:t>
      </w:r>
      <w:r w:rsidR="004836BE">
        <w:t xml:space="preserve">  Note that Construction and Operational Vibration has been scope out of consideration.</w:t>
      </w:r>
    </w:p>
    <w:tbl>
      <w:tblPr>
        <w:tblStyle w:val="TableGrid"/>
        <w:tblW w:w="0" w:type="auto"/>
        <w:tblLook w:val="04A0" w:firstRow="1" w:lastRow="0" w:firstColumn="1" w:lastColumn="0" w:noHBand="0" w:noVBand="1"/>
      </w:tblPr>
      <w:tblGrid>
        <w:gridCol w:w="9016"/>
      </w:tblGrid>
      <w:tr w:rsidR="00E86688" w:rsidRPr="00E10034" w14:paraId="482A5BB2" w14:textId="77777777" w:rsidTr="0015339A">
        <w:tc>
          <w:tcPr>
            <w:tcW w:w="9016" w:type="dxa"/>
            <w:shd w:val="clear" w:color="auto" w:fill="BFBFBF" w:themeFill="background1" w:themeFillShade="BF"/>
          </w:tcPr>
          <w:p w14:paraId="74359F3A" w14:textId="60D017EC" w:rsidR="00E86688" w:rsidRPr="009B6529" w:rsidRDefault="00E86688" w:rsidP="0015339A">
            <w:pPr>
              <w:tabs>
                <w:tab w:val="center" w:pos="4400"/>
              </w:tabs>
              <w:jc w:val="both"/>
              <w:rPr>
                <w:rFonts w:ascii="Arial" w:hAnsi="Arial" w:cs="Arial"/>
                <w:b/>
                <w:bCs/>
              </w:rPr>
            </w:pPr>
            <w:r w:rsidRPr="009B6529">
              <w:rPr>
                <w:rFonts w:ascii="Arial" w:hAnsi="Arial" w:cs="Arial"/>
                <w:b/>
                <w:bCs/>
              </w:rPr>
              <w:t>Table 1</w:t>
            </w:r>
            <w:r w:rsidR="00B73947" w:rsidRPr="009B6529">
              <w:rPr>
                <w:rFonts w:ascii="Arial" w:hAnsi="Arial" w:cs="Arial"/>
                <w:b/>
                <w:bCs/>
              </w:rPr>
              <w:t>2</w:t>
            </w:r>
            <w:r w:rsidRPr="009B6529">
              <w:rPr>
                <w:rFonts w:ascii="Arial" w:hAnsi="Arial" w:cs="Arial"/>
                <w:b/>
                <w:bCs/>
              </w:rPr>
              <w:t>.1:  Summary of Potential Effects (</w:t>
            </w:r>
            <w:r w:rsidR="00061F57" w:rsidRPr="009B6529">
              <w:rPr>
                <w:rFonts w:ascii="Arial" w:hAnsi="Arial" w:cs="Arial"/>
                <w:b/>
                <w:bCs/>
              </w:rPr>
              <w:t>Noise)</w:t>
            </w:r>
          </w:p>
        </w:tc>
      </w:tr>
      <w:tr w:rsidR="00E86688" w:rsidRPr="00E10034" w14:paraId="2B06B992" w14:textId="77777777" w:rsidTr="0015339A">
        <w:tc>
          <w:tcPr>
            <w:tcW w:w="9016" w:type="dxa"/>
            <w:shd w:val="clear" w:color="auto" w:fill="D9D9D9" w:themeFill="background1" w:themeFillShade="D9"/>
          </w:tcPr>
          <w:p w14:paraId="1C0C9D99" w14:textId="77777777" w:rsidR="00E86688" w:rsidRPr="009B6529" w:rsidRDefault="00E86688" w:rsidP="0015339A">
            <w:pPr>
              <w:tabs>
                <w:tab w:val="center" w:pos="4400"/>
              </w:tabs>
              <w:jc w:val="both"/>
              <w:rPr>
                <w:rFonts w:ascii="Arial" w:hAnsi="Arial" w:cs="Arial"/>
              </w:rPr>
            </w:pPr>
            <w:r w:rsidRPr="009B6529">
              <w:rPr>
                <w:rFonts w:ascii="Arial" w:hAnsi="Arial" w:cs="Arial"/>
                <w:b/>
                <w:bCs/>
              </w:rPr>
              <w:t>Do Nothing</w:t>
            </w:r>
            <w:r w:rsidRPr="009B6529">
              <w:rPr>
                <w:rFonts w:ascii="Arial" w:hAnsi="Arial" w:cs="Arial"/>
                <w:b/>
                <w:bCs/>
              </w:rPr>
              <w:tab/>
            </w:r>
          </w:p>
        </w:tc>
      </w:tr>
      <w:tr w:rsidR="00E86688" w:rsidRPr="00E10034" w14:paraId="6B3C1FDD" w14:textId="77777777" w:rsidTr="0015339A">
        <w:tc>
          <w:tcPr>
            <w:tcW w:w="9016" w:type="dxa"/>
          </w:tcPr>
          <w:p w14:paraId="60BDC504" w14:textId="75A566CD" w:rsidR="00E86688" w:rsidRPr="009B6529" w:rsidRDefault="00E17FFA" w:rsidP="00C6208E">
            <w:pPr>
              <w:pStyle w:val="ListParagraph"/>
              <w:numPr>
                <w:ilvl w:val="0"/>
                <w:numId w:val="41"/>
              </w:numPr>
              <w:spacing w:after="0" w:line="240" w:lineRule="auto"/>
              <w:jc w:val="both"/>
              <w:rPr>
                <w:sz w:val="22"/>
                <w:szCs w:val="22"/>
              </w:rPr>
            </w:pPr>
            <w:r w:rsidRPr="009B6529">
              <w:rPr>
                <w:sz w:val="22"/>
                <w:szCs w:val="22"/>
              </w:rPr>
              <w:t>If the Proposed Development were to not go ahead, the Temporary and Long-Term noise sources associated with construction and operational phases would not be introduced into the area and the current acoustic environment would continue</w:t>
            </w:r>
            <w:r w:rsidR="00596F81" w:rsidRPr="009B6529">
              <w:rPr>
                <w:sz w:val="22"/>
                <w:szCs w:val="22"/>
              </w:rPr>
              <w:t>.</w:t>
            </w:r>
          </w:p>
        </w:tc>
      </w:tr>
      <w:tr w:rsidR="00E86688" w:rsidRPr="00E10034" w14:paraId="074C82AE" w14:textId="77777777" w:rsidTr="0015339A">
        <w:tc>
          <w:tcPr>
            <w:tcW w:w="9016" w:type="dxa"/>
            <w:shd w:val="clear" w:color="auto" w:fill="D9D9D9" w:themeFill="background1" w:themeFillShade="D9"/>
          </w:tcPr>
          <w:p w14:paraId="7C9F5353" w14:textId="77777777" w:rsidR="00E86688" w:rsidRPr="009B6529" w:rsidRDefault="00E86688" w:rsidP="0015339A">
            <w:pPr>
              <w:jc w:val="both"/>
              <w:rPr>
                <w:rFonts w:ascii="Arial" w:hAnsi="Arial" w:cs="Arial"/>
              </w:rPr>
            </w:pPr>
            <w:r w:rsidRPr="009B6529">
              <w:rPr>
                <w:rFonts w:ascii="Arial" w:hAnsi="Arial" w:cs="Arial"/>
                <w:b/>
                <w:bCs/>
              </w:rPr>
              <w:t>Construction</w:t>
            </w:r>
          </w:p>
        </w:tc>
      </w:tr>
      <w:tr w:rsidR="00E86688" w:rsidRPr="00E10034" w14:paraId="5F34E5C7" w14:textId="77777777" w:rsidTr="0015339A">
        <w:tc>
          <w:tcPr>
            <w:tcW w:w="9016" w:type="dxa"/>
          </w:tcPr>
          <w:p w14:paraId="1C052BBD" w14:textId="74DBF07A" w:rsidR="00280189" w:rsidRPr="009B6529" w:rsidRDefault="0015753A" w:rsidP="00C6208E">
            <w:pPr>
              <w:pStyle w:val="ListParagraph"/>
              <w:numPr>
                <w:ilvl w:val="0"/>
                <w:numId w:val="49"/>
              </w:numPr>
              <w:spacing w:after="0" w:line="240" w:lineRule="auto"/>
              <w:jc w:val="both"/>
              <w:rPr>
                <w:sz w:val="22"/>
                <w:szCs w:val="22"/>
              </w:rPr>
            </w:pPr>
            <w:r w:rsidRPr="009B6529">
              <w:rPr>
                <w:sz w:val="22"/>
                <w:szCs w:val="22"/>
              </w:rPr>
              <w:t xml:space="preserve">The construction phase of the proposed development will be c. 29 months comprising four </w:t>
            </w:r>
            <w:proofErr w:type="gramStart"/>
            <w:r w:rsidRPr="009B6529">
              <w:rPr>
                <w:sz w:val="22"/>
                <w:szCs w:val="22"/>
              </w:rPr>
              <w:t>activities;</w:t>
            </w:r>
            <w:proofErr w:type="gramEnd"/>
            <w:r w:rsidRPr="009B6529">
              <w:rPr>
                <w:sz w:val="22"/>
                <w:szCs w:val="22"/>
              </w:rPr>
              <w:t xml:space="preserve"> Mobilisation and Site Prep (Months 1-7), </w:t>
            </w:r>
            <w:r w:rsidR="00280189" w:rsidRPr="009B6529">
              <w:rPr>
                <w:sz w:val="22"/>
                <w:szCs w:val="22"/>
              </w:rPr>
              <w:t xml:space="preserve">Demolition, (Months 3 – 8), Construction Works (Months 7 – 27 and Fuelling and Commissioning (Months 25 </w:t>
            </w:r>
            <w:r w:rsidR="002847EB" w:rsidRPr="009B6529">
              <w:rPr>
                <w:sz w:val="22"/>
                <w:szCs w:val="22"/>
              </w:rPr>
              <w:t>–</w:t>
            </w:r>
            <w:r w:rsidR="00280189" w:rsidRPr="009B6529">
              <w:rPr>
                <w:sz w:val="22"/>
                <w:szCs w:val="22"/>
              </w:rPr>
              <w:t xml:space="preserve"> 29</w:t>
            </w:r>
            <w:r w:rsidR="006C3358">
              <w:rPr>
                <w:sz w:val="22"/>
                <w:szCs w:val="22"/>
              </w:rPr>
              <w:t>)</w:t>
            </w:r>
            <w:r w:rsidR="002847EB" w:rsidRPr="009B6529">
              <w:rPr>
                <w:sz w:val="22"/>
                <w:szCs w:val="22"/>
              </w:rPr>
              <w:t>.</w:t>
            </w:r>
          </w:p>
          <w:p w14:paraId="41186DB0" w14:textId="6A5336A6" w:rsidR="00E86688" w:rsidRPr="009B6529" w:rsidRDefault="007C5848" w:rsidP="00C6208E">
            <w:pPr>
              <w:pStyle w:val="ListParagraph"/>
              <w:numPr>
                <w:ilvl w:val="0"/>
                <w:numId w:val="49"/>
              </w:numPr>
              <w:spacing w:after="0" w:line="240" w:lineRule="auto"/>
              <w:jc w:val="both"/>
              <w:rPr>
                <w:sz w:val="22"/>
                <w:szCs w:val="22"/>
              </w:rPr>
            </w:pPr>
            <w:r w:rsidRPr="009B6529">
              <w:rPr>
                <w:sz w:val="22"/>
                <w:szCs w:val="22"/>
              </w:rPr>
              <w:t>The closest Noise Sensitive Receptor NSR1</w:t>
            </w:r>
            <w:r w:rsidR="0050026C">
              <w:rPr>
                <w:sz w:val="22"/>
                <w:szCs w:val="22"/>
              </w:rPr>
              <w:t xml:space="preserve">, which is a cottage known as Ferry </w:t>
            </w:r>
            <w:proofErr w:type="spellStart"/>
            <w:r w:rsidR="0050026C">
              <w:rPr>
                <w:sz w:val="22"/>
                <w:szCs w:val="22"/>
              </w:rPr>
              <w:t>Cottage</w:t>
            </w:r>
            <w:r w:rsidRPr="009B6529">
              <w:rPr>
                <w:sz w:val="22"/>
                <w:szCs w:val="22"/>
              </w:rPr>
              <w:t>is</w:t>
            </w:r>
            <w:proofErr w:type="spellEnd"/>
            <w:r w:rsidRPr="009B6529">
              <w:rPr>
                <w:sz w:val="22"/>
                <w:szCs w:val="22"/>
              </w:rPr>
              <w:t xml:space="preserve"> located c. 245m south from the Transformer Wall Boundary (Table 11.9 and Figure 11.1 of EIAR)</w:t>
            </w:r>
            <w:r w:rsidR="004B4A0E" w:rsidRPr="009B6529">
              <w:rPr>
                <w:sz w:val="22"/>
                <w:szCs w:val="22"/>
              </w:rPr>
              <w:t xml:space="preserve">.  </w:t>
            </w:r>
            <w:r w:rsidR="00FD4FD0" w:rsidRPr="009B6529">
              <w:rPr>
                <w:sz w:val="22"/>
                <w:szCs w:val="22"/>
              </w:rPr>
              <w:t xml:space="preserve">The assessment of construction noise detailed indicates no significant adverse effects at residential receptors </w:t>
            </w:r>
            <w:proofErr w:type="gramStart"/>
            <w:r w:rsidR="00FD4FD0" w:rsidRPr="009B6529">
              <w:rPr>
                <w:sz w:val="22"/>
                <w:szCs w:val="22"/>
              </w:rPr>
              <w:t>with the exception of</w:t>
            </w:r>
            <w:proofErr w:type="gramEnd"/>
            <w:r w:rsidR="00FD4FD0" w:rsidRPr="009B6529">
              <w:rPr>
                <w:sz w:val="22"/>
                <w:szCs w:val="22"/>
              </w:rPr>
              <w:t xml:space="preserve"> NSR1 during the peak month (month seven) where a 2dB exceedance is predicted.</w:t>
            </w:r>
            <w:r w:rsidR="00FD4696" w:rsidRPr="009B6529">
              <w:rPr>
                <w:sz w:val="22"/>
                <w:szCs w:val="22"/>
              </w:rPr>
              <w:t xml:space="preserve">  Mitigation measures were proposed for the construction/decommissioning in section 11.6.1 of the EIAR.</w:t>
            </w:r>
          </w:p>
          <w:p w14:paraId="21413FAF" w14:textId="4C0A0A62" w:rsidR="00BB0958" w:rsidRPr="009B6529" w:rsidRDefault="00BB0958" w:rsidP="00C6208E">
            <w:pPr>
              <w:pStyle w:val="ListParagraph"/>
              <w:numPr>
                <w:ilvl w:val="0"/>
                <w:numId w:val="49"/>
              </w:numPr>
              <w:spacing w:after="0" w:line="240" w:lineRule="auto"/>
              <w:jc w:val="both"/>
              <w:rPr>
                <w:b/>
                <w:bCs/>
                <w:sz w:val="22"/>
                <w:szCs w:val="22"/>
                <w:u w:val="single"/>
              </w:rPr>
            </w:pPr>
            <w:r w:rsidRPr="009B6529">
              <w:rPr>
                <w:sz w:val="22"/>
                <w:szCs w:val="22"/>
              </w:rPr>
              <w:t xml:space="preserve">Subject to the adoption of the mitigation measures, all effects are defined in accordance with Table 11.1 and Table 11.2 </w:t>
            </w:r>
            <w:r w:rsidR="00C40FA1" w:rsidRPr="009B6529">
              <w:rPr>
                <w:sz w:val="22"/>
                <w:szCs w:val="22"/>
              </w:rPr>
              <w:t xml:space="preserve">of the EIAR </w:t>
            </w:r>
            <w:r w:rsidRPr="009B6529">
              <w:rPr>
                <w:sz w:val="22"/>
                <w:szCs w:val="22"/>
              </w:rPr>
              <w:t>as either Imperceptible or Not Significant. Construction effects are defined as Temporary / Short-Term</w:t>
            </w:r>
            <w:r w:rsidR="00C40FA1" w:rsidRPr="009B6529">
              <w:rPr>
                <w:sz w:val="22"/>
                <w:szCs w:val="22"/>
              </w:rPr>
              <w:t>.</w:t>
            </w:r>
          </w:p>
        </w:tc>
      </w:tr>
      <w:tr w:rsidR="00E86688" w:rsidRPr="00E10034" w14:paraId="7A5C745F" w14:textId="77777777" w:rsidTr="0015339A">
        <w:tc>
          <w:tcPr>
            <w:tcW w:w="9016" w:type="dxa"/>
            <w:shd w:val="clear" w:color="auto" w:fill="D9D9D9" w:themeFill="background1" w:themeFillShade="D9"/>
          </w:tcPr>
          <w:p w14:paraId="0B5FEEE5" w14:textId="77777777" w:rsidR="00E86688" w:rsidRPr="009B6529" w:rsidRDefault="00E86688" w:rsidP="0015339A">
            <w:pPr>
              <w:jc w:val="both"/>
              <w:rPr>
                <w:rFonts w:ascii="Arial" w:hAnsi="Arial" w:cs="Arial"/>
              </w:rPr>
            </w:pPr>
            <w:r w:rsidRPr="009B6529">
              <w:rPr>
                <w:rFonts w:ascii="Arial" w:hAnsi="Arial" w:cs="Arial"/>
                <w:b/>
                <w:bCs/>
              </w:rPr>
              <w:t>Operational Impacts</w:t>
            </w:r>
          </w:p>
        </w:tc>
      </w:tr>
      <w:tr w:rsidR="00E86688" w:rsidRPr="00E10034" w14:paraId="35E62915" w14:textId="77777777" w:rsidTr="0015339A">
        <w:tc>
          <w:tcPr>
            <w:tcW w:w="9016" w:type="dxa"/>
          </w:tcPr>
          <w:p w14:paraId="2ECF5F09" w14:textId="63A5E45D" w:rsidR="00B15F2D" w:rsidRPr="009B6529" w:rsidRDefault="00B15F2D" w:rsidP="00C6208E">
            <w:pPr>
              <w:pStyle w:val="ListParagraph"/>
              <w:numPr>
                <w:ilvl w:val="0"/>
                <w:numId w:val="41"/>
              </w:numPr>
              <w:spacing w:after="0" w:line="240" w:lineRule="auto"/>
              <w:jc w:val="both"/>
              <w:rPr>
                <w:sz w:val="22"/>
                <w:szCs w:val="22"/>
              </w:rPr>
            </w:pPr>
            <w:r w:rsidRPr="009B6529">
              <w:rPr>
                <w:sz w:val="22"/>
                <w:szCs w:val="22"/>
              </w:rPr>
              <w:t>Given the low number of Proposed Development related vehicle movements on existing road networks per day during the operational phase, noise impacts are likely to be Negligible or less in the operational phase and therefore no further assessment has been undertaken.</w:t>
            </w:r>
          </w:p>
          <w:p w14:paraId="38A89197" w14:textId="4B5D5F57" w:rsidR="00E86688" w:rsidRPr="009B6529" w:rsidRDefault="007C5848" w:rsidP="00C6208E">
            <w:pPr>
              <w:pStyle w:val="ListParagraph"/>
              <w:numPr>
                <w:ilvl w:val="0"/>
                <w:numId w:val="41"/>
              </w:numPr>
              <w:spacing w:after="0" w:line="240" w:lineRule="auto"/>
              <w:jc w:val="both"/>
              <w:rPr>
                <w:sz w:val="22"/>
                <w:szCs w:val="22"/>
              </w:rPr>
            </w:pPr>
            <w:r w:rsidRPr="009B6529">
              <w:rPr>
                <w:sz w:val="22"/>
                <w:szCs w:val="22"/>
              </w:rPr>
              <w:t>Noise levels during the operational phase will be emitted principally from the gas turbine building air inlet, the top of a 55m tall chimney stack, and associated equipment, such as transformers, fan coolers and exhausts. Sound emissions are not expected to possess distinctive characteristics such as tonality or impulsiveness from the nearest sensitive receptors perspective</w:t>
            </w:r>
            <w:r w:rsidR="001137E0" w:rsidRPr="009B6529">
              <w:rPr>
                <w:sz w:val="22"/>
                <w:szCs w:val="22"/>
              </w:rPr>
              <w:t xml:space="preserve">.  </w:t>
            </w:r>
            <w:r w:rsidRPr="009B6529">
              <w:rPr>
                <w:sz w:val="22"/>
                <w:szCs w:val="22"/>
              </w:rPr>
              <w:t>Emissions during the operational phase will comply with expected fixed permitted limits by the EPA, based on current best practice for this type of facility, and which are more stringent during the night-time.</w:t>
            </w:r>
          </w:p>
        </w:tc>
      </w:tr>
      <w:tr w:rsidR="00E86688" w:rsidRPr="00E10034" w14:paraId="22BB58AD" w14:textId="77777777" w:rsidTr="0015339A">
        <w:tc>
          <w:tcPr>
            <w:tcW w:w="9016" w:type="dxa"/>
            <w:shd w:val="clear" w:color="auto" w:fill="D9D9D9" w:themeFill="background1" w:themeFillShade="D9"/>
          </w:tcPr>
          <w:p w14:paraId="59C2D6E8" w14:textId="77777777" w:rsidR="00E86688" w:rsidRPr="009B6529" w:rsidRDefault="00E86688" w:rsidP="0015339A">
            <w:pPr>
              <w:jc w:val="both"/>
              <w:rPr>
                <w:rFonts w:ascii="Arial" w:hAnsi="Arial" w:cs="Arial"/>
              </w:rPr>
            </w:pPr>
            <w:r w:rsidRPr="009B6529">
              <w:rPr>
                <w:rFonts w:ascii="Arial" w:hAnsi="Arial" w:cs="Arial"/>
                <w:b/>
                <w:bCs/>
              </w:rPr>
              <w:lastRenderedPageBreak/>
              <w:t>Decommissioning</w:t>
            </w:r>
          </w:p>
        </w:tc>
      </w:tr>
      <w:tr w:rsidR="00E86688" w:rsidRPr="00E10034" w14:paraId="736CBD3E" w14:textId="77777777" w:rsidTr="0015339A">
        <w:tc>
          <w:tcPr>
            <w:tcW w:w="9016" w:type="dxa"/>
          </w:tcPr>
          <w:p w14:paraId="0845A8E3" w14:textId="38D73ECD" w:rsidR="00E86688" w:rsidRPr="009B6529" w:rsidRDefault="003B4D22" w:rsidP="00C6208E">
            <w:pPr>
              <w:pStyle w:val="ListParagraph"/>
              <w:numPr>
                <w:ilvl w:val="0"/>
                <w:numId w:val="41"/>
              </w:numPr>
              <w:spacing w:after="0" w:line="240" w:lineRule="auto"/>
              <w:jc w:val="both"/>
              <w:rPr>
                <w:sz w:val="22"/>
                <w:szCs w:val="22"/>
              </w:rPr>
            </w:pPr>
            <w:r w:rsidRPr="009B6529">
              <w:rPr>
                <w:sz w:val="22"/>
                <w:szCs w:val="22"/>
              </w:rPr>
              <w:t>Measures will be undertaken to ensure that there will be no significant, negative environmental effects. The equipment and programme for the decommissioning phase are expected to not produce sound emissions any worse than those experienced during the construction phase</w:t>
            </w:r>
            <w:r w:rsidR="006C3358">
              <w:rPr>
                <w:sz w:val="22"/>
                <w:szCs w:val="22"/>
              </w:rPr>
              <w:t xml:space="preserve">. </w:t>
            </w:r>
          </w:p>
        </w:tc>
      </w:tr>
      <w:tr w:rsidR="00E86688" w:rsidRPr="00E10034" w14:paraId="27D44A2F" w14:textId="77777777" w:rsidTr="0015339A">
        <w:trPr>
          <w:trHeight w:val="163"/>
        </w:trPr>
        <w:tc>
          <w:tcPr>
            <w:tcW w:w="9016" w:type="dxa"/>
            <w:shd w:val="clear" w:color="auto" w:fill="D9D9D9" w:themeFill="background1" w:themeFillShade="D9"/>
          </w:tcPr>
          <w:p w14:paraId="2DA4D6E1" w14:textId="77777777" w:rsidR="00E86688" w:rsidRPr="009B6529" w:rsidRDefault="00E86688" w:rsidP="0015339A">
            <w:pPr>
              <w:jc w:val="both"/>
              <w:rPr>
                <w:rFonts w:ascii="Arial" w:hAnsi="Arial" w:cs="Arial"/>
              </w:rPr>
            </w:pPr>
            <w:r w:rsidRPr="009B6529">
              <w:rPr>
                <w:rFonts w:ascii="Arial" w:hAnsi="Arial" w:cs="Arial"/>
                <w:b/>
                <w:bCs/>
              </w:rPr>
              <w:t>Cumulative Impacts</w:t>
            </w:r>
          </w:p>
        </w:tc>
      </w:tr>
      <w:tr w:rsidR="00E86688" w:rsidRPr="00E10034" w14:paraId="19E583F4" w14:textId="77777777" w:rsidTr="0015339A">
        <w:tc>
          <w:tcPr>
            <w:tcW w:w="9016" w:type="dxa"/>
          </w:tcPr>
          <w:p w14:paraId="100FCC00" w14:textId="32A5A6BA" w:rsidR="00EB1A01" w:rsidRPr="006C3358" w:rsidRDefault="004207CA" w:rsidP="00AE6634">
            <w:pPr>
              <w:jc w:val="both"/>
              <w:rPr>
                <w:rFonts w:ascii="Arial" w:hAnsi="Arial" w:cs="Arial"/>
              </w:rPr>
            </w:pPr>
            <w:r w:rsidRPr="006C3358">
              <w:rPr>
                <w:rFonts w:ascii="Arial" w:hAnsi="Arial" w:cs="Arial"/>
              </w:rPr>
              <w:t>The EIAR assessed</w:t>
            </w:r>
            <w:r w:rsidR="009350EB" w:rsidRPr="006C3358">
              <w:rPr>
                <w:rFonts w:ascii="Arial" w:hAnsi="Arial" w:cs="Arial"/>
              </w:rPr>
              <w:t>,</w:t>
            </w:r>
            <w:r w:rsidRPr="006C3358">
              <w:rPr>
                <w:rFonts w:ascii="Arial" w:hAnsi="Arial" w:cs="Arial"/>
              </w:rPr>
              <w:t xml:space="preserve"> </w:t>
            </w:r>
            <w:proofErr w:type="gramStart"/>
            <w:r w:rsidRPr="006C3358">
              <w:rPr>
                <w:rFonts w:ascii="Arial" w:hAnsi="Arial" w:cs="Arial"/>
              </w:rPr>
              <w:t>in particular the</w:t>
            </w:r>
            <w:proofErr w:type="gramEnd"/>
            <w:r w:rsidRPr="006C3358">
              <w:rPr>
                <w:rFonts w:ascii="Arial" w:hAnsi="Arial" w:cs="Arial"/>
              </w:rPr>
              <w:t xml:space="preserve"> Cumulative Impacts </w:t>
            </w:r>
            <w:r w:rsidR="00D137A5" w:rsidRPr="006C3358">
              <w:rPr>
                <w:rFonts w:ascii="Arial" w:hAnsi="Arial" w:cs="Arial"/>
              </w:rPr>
              <w:t>with the Temporary Emergency Generator (TEG) Development, the SSE Battery Energy Storage Site</w:t>
            </w:r>
            <w:r w:rsidR="00EB1A01" w:rsidRPr="006C3358">
              <w:rPr>
                <w:rFonts w:ascii="Arial" w:hAnsi="Arial" w:cs="Arial"/>
              </w:rPr>
              <w:t>, and the EirGrid re-cabling Development</w:t>
            </w:r>
            <w:r w:rsidR="009350EB" w:rsidRPr="006C3358">
              <w:rPr>
                <w:rFonts w:ascii="Arial" w:hAnsi="Arial" w:cs="Arial"/>
              </w:rPr>
              <w:t xml:space="preserve"> as well as other developments in the area</w:t>
            </w:r>
            <w:r w:rsidR="00EB1A01" w:rsidRPr="006C3358">
              <w:rPr>
                <w:rFonts w:ascii="Arial" w:hAnsi="Arial" w:cs="Arial"/>
              </w:rPr>
              <w:t>.</w:t>
            </w:r>
          </w:p>
          <w:p w14:paraId="162EBBC0" w14:textId="0CA88586" w:rsidR="00E86688" w:rsidRPr="006C3358" w:rsidRDefault="003B0CEA" w:rsidP="006C3358">
            <w:pPr>
              <w:jc w:val="both"/>
              <w:rPr>
                <w:rFonts w:ascii="Arial" w:hAnsi="Arial" w:cs="Arial"/>
              </w:rPr>
            </w:pPr>
            <w:r w:rsidRPr="006C3358">
              <w:rPr>
                <w:rFonts w:ascii="Arial" w:hAnsi="Arial" w:cs="Arial"/>
              </w:rPr>
              <w:t>Cumulative</w:t>
            </w:r>
            <w:r w:rsidR="00AE6634" w:rsidRPr="006C3358">
              <w:rPr>
                <w:rFonts w:ascii="Arial" w:hAnsi="Arial" w:cs="Arial"/>
              </w:rPr>
              <w:t xml:space="preserve"> impacts are not expected as a result of the construction or operational phases of the Proposed Development due to</w:t>
            </w:r>
            <w:r w:rsidR="006C3358" w:rsidRPr="006C3358">
              <w:rPr>
                <w:rFonts w:ascii="Arial" w:hAnsi="Arial" w:cs="Arial"/>
              </w:rPr>
              <w:t xml:space="preserve"> </w:t>
            </w:r>
            <w:r w:rsidR="00AE6634" w:rsidRPr="006C3358">
              <w:rPr>
                <w:rFonts w:ascii="Arial" w:hAnsi="Arial" w:cs="Arial"/>
              </w:rPr>
              <w:t>Construction phases not overlapping, or developments being constructed already</w:t>
            </w:r>
            <w:r w:rsidR="006C3358" w:rsidRPr="006C3358">
              <w:rPr>
                <w:rFonts w:ascii="Arial" w:hAnsi="Arial" w:cs="Arial"/>
              </w:rPr>
              <w:t xml:space="preserve">, </w:t>
            </w:r>
            <w:r w:rsidR="00AE6634" w:rsidRPr="006C3358">
              <w:rPr>
                <w:rFonts w:ascii="Arial" w:hAnsi="Arial" w:cs="Arial"/>
              </w:rPr>
              <w:t xml:space="preserve">Operational traffic volume changes being low at either the listed development and the Proposed Development, or both, leading to negligible changes in road traffic noise levels on the surrounding road network; and </w:t>
            </w:r>
            <w:r w:rsidR="006C3358" w:rsidRPr="006C3358">
              <w:rPr>
                <w:rFonts w:ascii="Arial" w:hAnsi="Arial" w:cs="Arial"/>
              </w:rPr>
              <w:t>t</w:t>
            </w:r>
            <w:r w:rsidR="00AE6634" w:rsidRPr="006C3358">
              <w:rPr>
                <w:rFonts w:ascii="Arial" w:hAnsi="Arial" w:cs="Arial"/>
              </w:rPr>
              <w:t>he distance and / or nature of the development not being considered as likely to increase noise levels at nearby receptors.</w:t>
            </w:r>
          </w:p>
        </w:tc>
      </w:tr>
    </w:tbl>
    <w:p w14:paraId="4FF13FF5" w14:textId="77777777" w:rsidR="00E86688" w:rsidRPr="00CA3BE1" w:rsidRDefault="00E86688" w:rsidP="00CA3BE1">
      <w:pPr>
        <w:pStyle w:val="Heading2"/>
      </w:pPr>
      <w:r w:rsidRPr="00CA3BE1">
        <w:t>Mitigation</w:t>
      </w:r>
    </w:p>
    <w:p w14:paraId="513CBC68" w14:textId="11C4A50C" w:rsidR="00E21FBF" w:rsidRPr="003B39E9" w:rsidRDefault="003F396F" w:rsidP="00E21FBF">
      <w:pPr>
        <w:pStyle w:val="BBody1"/>
        <w:numPr>
          <w:ilvl w:val="0"/>
          <w:numId w:val="0"/>
        </w:numPr>
        <w:jc w:val="both"/>
        <w:rPr>
          <w:u w:val="single"/>
        </w:rPr>
      </w:pPr>
      <w:r w:rsidRPr="00E21FBF">
        <w:t xml:space="preserve">Mitigation requirements for potential impacts will be implemented as follows: </w:t>
      </w:r>
      <w:r w:rsidRPr="003B39E9">
        <w:rPr>
          <w:b/>
          <w:bCs/>
          <w:u w:val="single"/>
        </w:rPr>
        <w:t>Construction Phase</w:t>
      </w:r>
      <w:r w:rsidRPr="003B39E9">
        <w:rPr>
          <w:u w:val="single"/>
        </w:rPr>
        <w:t xml:space="preserve"> </w:t>
      </w:r>
    </w:p>
    <w:p w14:paraId="6B379596" w14:textId="77777777" w:rsidR="005138CE" w:rsidRDefault="003F396F" w:rsidP="00C6208E">
      <w:pPr>
        <w:pStyle w:val="ListParagraph"/>
        <w:numPr>
          <w:ilvl w:val="0"/>
          <w:numId w:val="43"/>
        </w:numPr>
        <w:jc w:val="both"/>
      </w:pPr>
      <w:r w:rsidRPr="00E21FBF">
        <w:t xml:space="preserve">Careful programming of site works and adoption of good practice measures. Listed in Section 11.6 of Chapter 11 (Noise and Vibration), Volume II of the EIAR. </w:t>
      </w:r>
    </w:p>
    <w:p w14:paraId="53AF65D5" w14:textId="39396DD7" w:rsidR="00E21FBF" w:rsidRPr="003B39E9" w:rsidRDefault="003F396F" w:rsidP="005138CE">
      <w:pPr>
        <w:jc w:val="both"/>
        <w:rPr>
          <w:rFonts w:ascii="Arial" w:hAnsi="Arial" w:cs="Arial"/>
          <w:b/>
          <w:bCs/>
          <w:sz w:val="24"/>
          <w:szCs w:val="24"/>
          <w:u w:val="single"/>
        </w:rPr>
      </w:pPr>
      <w:r w:rsidRPr="003B39E9">
        <w:rPr>
          <w:rFonts w:ascii="Arial" w:hAnsi="Arial" w:cs="Arial"/>
          <w:b/>
          <w:bCs/>
          <w:sz w:val="24"/>
          <w:szCs w:val="24"/>
          <w:u w:val="single"/>
        </w:rPr>
        <w:t xml:space="preserve">Operational Phase </w:t>
      </w:r>
    </w:p>
    <w:p w14:paraId="30F18512" w14:textId="4D828BC8" w:rsidR="00E21FBF" w:rsidRDefault="003F396F" w:rsidP="00C6208E">
      <w:pPr>
        <w:pStyle w:val="ListParagraph"/>
        <w:numPr>
          <w:ilvl w:val="0"/>
          <w:numId w:val="43"/>
        </w:numPr>
        <w:jc w:val="both"/>
      </w:pPr>
      <w:r w:rsidRPr="00E21FBF">
        <w:t>Operational phase noise impacts will be mitigated via the inclusion of mitigation measures such as attenuators, silencers, careful plant item selection and enclosures.</w:t>
      </w:r>
    </w:p>
    <w:p w14:paraId="47683641" w14:textId="18CC250A" w:rsidR="00E21FBF" w:rsidRDefault="003F396F" w:rsidP="00C6208E">
      <w:pPr>
        <w:pStyle w:val="ListParagraph"/>
        <w:numPr>
          <w:ilvl w:val="0"/>
          <w:numId w:val="43"/>
        </w:numPr>
        <w:jc w:val="both"/>
      </w:pPr>
      <w:r w:rsidRPr="00E21FBF">
        <w:t>A Commitment to adopt the Noise Guidance four (NG4) operation noise limits as requirements within the final design, including the need to address distinctive acoustic characteristics of</w:t>
      </w:r>
      <w:r w:rsidR="00E21FBF" w:rsidRPr="00E21FBF">
        <w:t xml:space="preserve"> tonality and impulsivity and application of best available techniques (BAT) at procurement and through detailed design stage. </w:t>
      </w:r>
    </w:p>
    <w:p w14:paraId="778FC4DB" w14:textId="77777777" w:rsidR="00D80379" w:rsidRDefault="00E21FBF" w:rsidP="00C6208E">
      <w:pPr>
        <w:pStyle w:val="ListParagraph"/>
        <w:numPr>
          <w:ilvl w:val="0"/>
          <w:numId w:val="43"/>
        </w:numPr>
        <w:jc w:val="both"/>
      </w:pPr>
      <w:r w:rsidRPr="00E21FBF">
        <w:t xml:space="preserve">A commitment has been made to ensure the final design of the development complies with the relevant operational phase noise limits. This will be confirmed via an appropriate noise monitoring regime as part of the licencing. </w:t>
      </w:r>
    </w:p>
    <w:p w14:paraId="42FCB24D" w14:textId="77777777" w:rsidR="00E86688" w:rsidRDefault="00E86688" w:rsidP="00E86688">
      <w:pPr>
        <w:pStyle w:val="Heading2"/>
      </w:pPr>
      <w:r>
        <w:t>Residual Effects</w:t>
      </w:r>
    </w:p>
    <w:p w14:paraId="2B7A1D2C" w14:textId="734005A4" w:rsidR="00C844D4" w:rsidRPr="008564C2" w:rsidRDefault="00C844D4" w:rsidP="00C844D4">
      <w:pPr>
        <w:pStyle w:val="BBody1"/>
        <w:numPr>
          <w:ilvl w:val="0"/>
          <w:numId w:val="0"/>
        </w:numPr>
        <w:jc w:val="both"/>
        <w:rPr>
          <w:b/>
          <w:bCs/>
          <w:u w:val="single"/>
        </w:rPr>
      </w:pPr>
      <w:r w:rsidRPr="003A336F">
        <w:rPr>
          <w:b/>
          <w:bCs/>
          <w:u w:val="single"/>
        </w:rPr>
        <w:t xml:space="preserve">Construction </w:t>
      </w:r>
      <w:r w:rsidR="00760154">
        <w:rPr>
          <w:b/>
          <w:bCs/>
          <w:u w:val="single"/>
        </w:rPr>
        <w:t xml:space="preserve">and Decommissioning </w:t>
      </w:r>
      <w:r w:rsidRPr="003A336F">
        <w:rPr>
          <w:b/>
          <w:bCs/>
          <w:u w:val="single"/>
        </w:rPr>
        <w:t>Phase</w:t>
      </w:r>
      <w:r w:rsidR="008564C2" w:rsidRPr="008564C2">
        <w:rPr>
          <w:b/>
          <w:bCs/>
        </w:rPr>
        <w:t xml:space="preserve"> - </w:t>
      </w:r>
      <w:r w:rsidRPr="008564C2">
        <w:t>Post</w:t>
      </w:r>
      <w:r>
        <w:t xml:space="preserve"> mitigation, </w:t>
      </w:r>
      <w:r w:rsidR="00D52268">
        <w:t>n</w:t>
      </w:r>
      <w:r>
        <w:t>o Significant residual impacts are expected in the construction or decommissioning phases</w:t>
      </w:r>
      <w:r w:rsidR="00C22D14">
        <w:t xml:space="preserve"> (</w:t>
      </w:r>
      <w:r>
        <w:t>Table 11.28 of the EIAR</w:t>
      </w:r>
      <w:r w:rsidR="00C22D14">
        <w:t>).</w:t>
      </w:r>
      <w:r>
        <w:t xml:space="preserve"> </w:t>
      </w:r>
    </w:p>
    <w:p w14:paraId="6E98637A" w14:textId="062BD3E1" w:rsidR="00D52268" w:rsidRPr="008564C2" w:rsidRDefault="00CC0237" w:rsidP="00F066AA">
      <w:pPr>
        <w:pStyle w:val="BBody1"/>
        <w:numPr>
          <w:ilvl w:val="0"/>
          <w:numId w:val="0"/>
        </w:numPr>
        <w:jc w:val="both"/>
        <w:rPr>
          <w:b/>
          <w:bCs/>
          <w:u w:val="single"/>
        </w:rPr>
      </w:pPr>
      <w:r w:rsidRPr="00CC0237">
        <w:rPr>
          <w:b/>
          <w:bCs/>
          <w:u w:val="single"/>
        </w:rPr>
        <w:t>Operational Phase</w:t>
      </w:r>
      <w:r w:rsidR="008564C2" w:rsidRPr="008564C2">
        <w:rPr>
          <w:b/>
          <w:bCs/>
        </w:rPr>
        <w:t xml:space="preserve"> - </w:t>
      </w:r>
      <w:r w:rsidRPr="008564C2">
        <w:t xml:space="preserve">Following </w:t>
      </w:r>
      <w:r>
        <w:t xml:space="preserve">implementation of the minimum requirements for mitigation the top three contributors of noise at NSR1 is predicted to be the Stack </w:t>
      </w:r>
      <w:r>
        <w:lastRenderedPageBreak/>
        <w:t xml:space="preserve">Outlet, the Gas Turbine Building Facades, and the Gas Turbine Building Air Intake. However, post mitigation, </w:t>
      </w:r>
      <w:r w:rsidR="00290E31">
        <w:t>n</w:t>
      </w:r>
      <w:r>
        <w:t xml:space="preserve">o </w:t>
      </w:r>
      <w:r w:rsidR="00290E31">
        <w:t>s</w:t>
      </w:r>
      <w:r>
        <w:t xml:space="preserve">ignificant residual impacts are expected. Any further reductions that can be obtained through procurement process (quieter plant), improved façade construction or other design details would also be considered as demonstration of the application of BAT. </w:t>
      </w:r>
      <w:r w:rsidR="003E1EE9">
        <w:t>(</w:t>
      </w:r>
      <w:r>
        <w:t>Table 11.29</w:t>
      </w:r>
      <w:r w:rsidR="003E1EE9">
        <w:t xml:space="preserve"> of EIAR)</w:t>
      </w:r>
      <w:r w:rsidR="008564C2">
        <w:t xml:space="preserve">.  </w:t>
      </w:r>
      <w:r w:rsidR="00D52268" w:rsidRPr="00D80379">
        <w:t>Post mitigation, no significant residual impacts are expected.</w:t>
      </w:r>
    </w:p>
    <w:p w14:paraId="17EDD1A9" w14:textId="77777777" w:rsidR="00E86688" w:rsidRPr="008C519F" w:rsidRDefault="00E86688" w:rsidP="00E86688">
      <w:pPr>
        <w:pStyle w:val="Heading2"/>
      </w:pPr>
      <w:r w:rsidRPr="008C519F">
        <w:t>The Assessment:  Direct and Indirect Effects</w:t>
      </w:r>
    </w:p>
    <w:p w14:paraId="0758BD3D" w14:textId="09A5E8E5" w:rsidR="007C310A" w:rsidRDefault="007C310A" w:rsidP="00F0100C">
      <w:pPr>
        <w:pStyle w:val="BBody1"/>
        <w:numPr>
          <w:ilvl w:val="0"/>
          <w:numId w:val="0"/>
        </w:numPr>
        <w:jc w:val="both"/>
      </w:pPr>
      <w:r w:rsidRPr="008C519F">
        <w:t>There is po</w:t>
      </w:r>
      <w:r w:rsidR="00257F47" w:rsidRPr="008C519F">
        <w:t xml:space="preserve">tential for minor disturbance during the construction, operational and decommissioning phases.  The noisiest period of construction activity will be during month </w:t>
      </w:r>
      <w:r w:rsidR="00783555" w:rsidRPr="008C519F">
        <w:t>7</w:t>
      </w:r>
      <w:r w:rsidR="00D5559E">
        <w:t xml:space="preserve"> when piling and earthworks will take place</w:t>
      </w:r>
      <w:r w:rsidR="00257F47" w:rsidRPr="008C519F">
        <w:t>.  No significant adver</w:t>
      </w:r>
      <w:r w:rsidR="00783555" w:rsidRPr="008C519F">
        <w:t>se</w:t>
      </w:r>
      <w:r w:rsidR="00257F47" w:rsidRPr="008C519F">
        <w:t xml:space="preserve"> impact is expe</w:t>
      </w:r>
      <w:r w:rsidR="00F0100C" w:rsidRPr="008C519F">
        <w:t>cted</w:t>
      </w:r>
      <w:r w:rsidR="00992E1D">
        <w:t>,</w:t>
      </w:r>
      <w:r w:rsidR="00F0100C" w:rsidRPr="008C519F">
        <w:t xml:space="preserve"> </w:t>
      </w:r>
      <w:proofErr w:type="gramStart"/>
      <w:r w:rsidR="00F45957">
        <w:t>with the exception of</w:t>
      </w:r>
      <w:proofErr w:type="gramEnd"/>
      <w:r w:rsidR="00F45957">
        <w:t xml:space="preserve"> </w:t>
      </w:r>
      <w:r w:rsidR="00543D33">
        <w:t xml:space="preserve">NSR1 </w:t>
      </w:r>
      <w:r w:rsidR="00104ADE">
        <w:t xml:space="preserve">and NSR2 </w:t>
      </w:r>
      <w:r w:rsidR="00543D33">
        <w:t>during the peak month 7, where a 2dB exceedance is predicted.  Mitigation measures are proposed in Section 11.6</w:t>
      </w:r>
      <w:r w:rsidR="00030112">
        <w:t>.1</w:t>
      </w:r>
      <w:r w:rsidR="00543D33">
        <w:t xml:space="preserve"> to </w:t>
      </w:r>
      <w:r w:rsidR="00992E1D">
        <w:t>mitigate this effect</w:t>
      </w:r>
      <w:r w:rsidR="00912461">
        <w:t>.  I am satisfied that the mitigation proposed</w:t>
      </w:r>
      <w:r w:rsidR="0057239E">
        <w:t xml:space="preserve"> will appropriately reduce the impact of noise on NSR1</w:t>
      </w:r>
      <w:r w:rsidR="00A2398B">
        <w:t>,</w:t>
      </w:r>
      <w:r w:rsidR="0057239E">
        <w:t xml:space="preserve"> </w:t>
      </w:r>
      <w:r w:rsidR="00E004DA">
        <w:t xml:space="preserve">specifically </w:t>
      </w:r>
      <w:r w:rsidR="0057239E">
        <w:t xml:space="preserve">the use of </w:t>
      </w:r>
      <w:r w:rsidR="00912461">
        <w:t xml:space="preserve">quieter construction plant </w:t>
      </w:r>
      <w:r w:rsidR="006F6D1A">
        <w:t xml:space="preserve">and </w:t>
      </w:r>
      <w:r w:rsidR="0057239E">
        <w:t xml:space="preserve">the </w:t>
      </w:r>
      <w:r w:rsidR="006F6D1A">
        <w:t>implementation of general mitigation measures</w:t>
      </w:r>
      <w:r w:rsidR="00E926B0">
        <w:t xml:space="preserve"> comprising those in BS5228-1 Table B.1.</w:t>
      </w:r>
      <w:r w:rsidR="005420C0">
        <w:t xml:space="preserve">  I am satisfied that c</w:t>
      </w:r>
      <w:r w:rsidR="00326982">
        <w:t>onstruction noise traffic</w:t>
      </w:r>
      <w:r w:rsidR="005420C0">
        <w:t xml:space="preserve"> will not have a significant effect on existing road traffic noise levels during the construction phase</w:t>
      </w:r>
      <w:r w:rsidR="00930C2B">
        <w:t>.</w:t>
      </w:r>
      <w:r w:rsidR="00326982">
        <w:t xml:space="preserve"> </w:t>
      </w:r>
      <w:r w:rsidR="0014414C">
        <w:t>Construction effects will be temporary and short term</w:t>
      </w:r>
      <w:r w:rsidR="0099265D">
        <w:t xml:space="preserve"> and mitigation </w:t>
      </w:r>
      <w:r w:rsidR="00E004DA">
        <w:t>o</w:t>
      </w:r>
      <w:r w:rsidR="0099265D">
        <w:t>utlined</w:t>
      </w:r>
      <w:r w:rsidR="00E004DA">
        <w:t xml:space="preserve"> in the EIAR</w:t>
      </w:r>
      <w:r w:rsidR="0099265D">
        <w:t xml:space="preserve"> will ensure that noise levels are kept to a minimum.</w:t>
      </w:r>
    </w:p>
    <w:p w14:paraId="1F019580" w14:textId="06460990" w:rsidR="001B29B5" w:rsidRPr="008C519F" w:rsidRDefault="00A94717" w:rsidP="00F0100C">
      <w:pPr>
        <w:pStyle w:val="BBody1"/>
        <w:numPr>
          <w:ilvl w:val="0"/>
          <w:numId w:val="0"/>
        </w:numPr>
        <w:jc w:val="both"/>
      </w:pPr>
      <w:r>
        <w:t xml:space="preserve">During the operation phase, sound will be emitted principally form the top of the 55m tall chimney stack, the air </w:t>
      </w:r>
      <w:proofErr w:type="gramStart"/>
      <w:r>
        <w:t>inlets</w:t>
      </w:r>
      <w:proofErr w:type="gramEnd"/>
      <w:r>
        <w:t xml:space="preserve"> and the transformers</w:t>
      </w:r>
      <w:r w:rsidR="00C5159A">
        <w:t xml:space="preserve">.  </w:t>
      </w:r>
      <w:r w:rsidR="00F27F77">
        <w:t xml:space="preserve">Unmitigated, </w:t>
      </w:r>
      <w:r w:rsidR="00F27F77" w:rsidRPr="00F27F77">
        <w:t>a</w:t>
      </w:r>
      <w:r w:rsidR="00511AA9" w:rsidRPr="00F27F77">
        <w:t xml:space="preserve">t NSR1 the night-time criterion is exceeded by </w:t>
      </w:r>
      <w:r w:rsidR="003107FE">
        <w:t xml:space="preserve">a </w:t>
      </w:r>
      <w:r w:rsidR="00511AA9" w:rsidRPr="00F27F77">
        <w:t>1</w:t>
      </w:r>
      <w:r w:rsidR="003107FE">
        <w:t>0</w:t>
      </w:r>
      <w:r w:rsidR="00511AA9" w:rsidRPr="00F27F77">
        <w:t xml:space="preserve">dB </w:t>
      </w:r>
      <w:r w:rsidR="003107FE">
        <w:t>exceed</w:t>
      </w:r>
      <w:r w:rsidR="00CE5D5E">
        <w:t>ance</w:t>
      </w:r>
      <w:r w:rsidR="003107FE">
        <w:t xml:space="preserve">, </w:t>
      </w:r>
      <w:r w:rsidR="00511AA9" w:rsidRPr="00F27F77">
        <w:t xml:space="preserve">which </w:t>
      </w:r>
      <w:r w:rsidR="00CE5D5E">
        <w:t>is</w:t>
      </w:r>
      <w:r w:rsidR="00511AA9" w:rsidRPr="00F27F77">
        <w:t xml:space="preserve"> considered significant.</w:t>
      </w:r>
      <w:r w:rsidR="00511AA9">
        <w:t xml:space="preserve"> </w:t>
      </w:r>
      <w:r w:rsidR="00CE5D5E">
        <w:t xml:space="preserve"> </w:t>
      </w:r>
      <w:r w:rsidR="001E241D">
        <w:t xml:space="preserve">I have assessed the </w:t>
      </w:r>
      <w:r w:rsidR="002A754F">
        <w:t>predicted mitigated sound pressure levels at NSRs in Section 11.6.2.2 of the EIAR</w:t>
      </w:r>
      <w:r w:rsidR="006070BA">
        <w:t>, which demonstrates how compliant noise levels can be achieved</w:t>
      </w:r>
      <w:r w:rsidR="00CE5D5E">
        <w:t xml:space="preserve"> at the NSRs</w:t>
      </w:r>
      <w:r w:rsidR="002A754F">
        <w:t xml:space="preserve">.  </w:t>
      </w:r>
      <w:r w:rsidR="001B29B5">
        <w:t xml:space="preserve">Operational </w:t>
      </w:r>
      <w:r w:rsidR="0066779E">
        <w:t>phase noise impacts will be mit</w:t>
      </w:r>
      <w:r w:rsidR="00D11B41">
        <w:t xml:space="preserve">igated </w:t>
      </w:r>
      <w:proofErr w:type="gramStart"/>
      <w:r w:rsidR="00D11B41">
        <w:t>by the use of</w:t>
      </w:r>
      <w:proofErr w:type="gramEnd"/>
      <w:r w:rsidR="00D11B41">
        <w:t xml:space="preserve"> mitigation measures as </w:t>
      </w:r>
      <w:r w:rsidR="00A652D5">
        <w:t xml:space="preserve">outlined in Section </w:t>
      </w:r>
      <w:r w:rsidR="00EC3B2F">
        <w:t>11.6 of the EIAR</w:t>
      </w:r>
      <w:r w:rsidR="00C3692B">
        <w:t>.  Furthermore, noise will be monitored as part of the</w:t>
      </w:r>
      <w:r w:rsidR="004E6F55">
        <w:t xml:space="preserve"> IPC</w:t>
      </w:r>
      <w:r w:rsidR="00C3692B">
        <w:t xml:space="preserve"> licence</w:t>
      </w:r>
      <w:r w:rsidR="003454F4">
        <w:t>, which are subject to fixed permitted limits</w:t>
      </w:r>
      <w:r w:rsidR="00D21187">
        <w:t xml:space="preserve">, which are </w:t>
      </w:r>
      <w:r w:rsidR="00A67C4D">
        <w:t>more limited at night</w:t>
      </w:r>
      <w:r w:rsidR="00C3692B">
        <w:t>.</w:t>
      </w:r>
      <w:r w:rsidR="004E6F55">
        <w:t xml:space="preserve">  I am satisfied that </w:t>
      </w:r>
      <w:r w:rsidR="00667917">
        <w:t>with mitigation, noise levels from the proposed development will comply with the relevant criteria.</w:t>
      </w:r>
    </w:p>
    <w:p w14:paraId="7192E1F2" w14:textId="63B90748" w:rsidR="00E86688" w:rsidRPr="00667917" w:rsidRDefault="00E86688" w:rsidP="00E86688">
      <w:pPr>
        <w:pStyle w:val="Heading2"/>
      </w:pPr>
      <w:r w:rsidRPr="00667917">
        <w:lastRenderedPageBreak/>
        <w:t>Conclusion:  Direct and Indirect Effects (</w:t>
      </w:r>
      <w:r w:rsidR="00667917">
        <w:t>Noise and Vibration</w:t>
      </w:r>
      <w:r w:rsidRPr="00667917">
        <w:t>)</w:t>
      </w:r>
    </w:p>
    <w:p w14:paraId="62AF056B" w14:textId="77777777" w:rsidR="009A67C5" w:rsidRDefault="00120A10" w:rsidP="00CF4E65">
      <w:pPr>
        <w:pStyle w:val="BBody1"/>
        <w:numPr>
          <w:ilvl w:val="0"/>
          <w:numId w:val="0"/>
        </w:numPr>
        <w:jc w:val="both"/>
      </w:pPr>
      <w:r w:rsidRPr="007D20DA">
        <w:t xml:space="preserve">Having examined the EIAR </w:t>
      </w:r>
      <w:r w:rsidR="00114852" w:rsidRPr="007D20DA">
        <w:t xml:space="preserve">noise modelling, which has been carried out in line with relevant guidance, I am satisfied that the models and resultant conclusions are robust.  </w:t>
      </w:r>
    </w:p>
    <w:p w14:paraId="36B79B4E" w14:textId="7BF87066" w:rsidR="00E11407" w:rsidRDefault="009A67C5" w:rsidP="00655CB9">
      <w:pPr>
        <w:pStyle w:val="BBody1"/>
        <w:numPr>
          <w:ilvl w:val="0"/>
          <w:numId w:val="0"/>
        </w:numPr>
        <w:jc w:val="both"/>
        <w:rPr>
          <w:rStyle w:val="CBody2Char"/>
        </w:rPr>
      </w:pPr>
      <w:r>
        <w:t>Sound emissions from the Proposed Development would, without design mitigation, exceed the nominated criteria</w:t>
      </w:r>
      <w:r w:rsidR="00F061C6">
        <w:t xml:space="preserve">.  </w:t>
      </w:r>
      <w:r w:rsidR="00716AF7" w:rsidRPr="007D20DA">
        <w:t xml:space="preserve">I am satisfied that adverse noise effects during </w:t>
      </w:r>
      <w:r w:rsidR="0035414D" w:rsidRPr="007D20DA">
        <w:t xml:space="preserve">all phases of the development will not be significant due to the </w:t>
      </w:r>
      <w:r w:rsidR="00667917" w:rsidRPr="007D20DA">
        <w:t xml:space="preserve">mitigation proposed </w:t>
      </w:r>
      <w:r w:rsidR="006D1729">
        <w:t>including the procurement of appropriate plant</w:t>
      </w:r>
      <w:r w:rsidR="000E29B1">
        <w:t xml:space="preserve">, use at attenuators, silencers </w:t>
      </w:r>
      <w:r w:rsidR="00D47AC0">
        <w:t xml:space="preserve">and enclosures </w:t>
      </w:r>
      <w:r w:rsidR="00667917" w:rsidRPr="007D20DA">
        <w:t xml:space="preserve">and the </w:t>
      </w:r>
      <w:r w:rsidR="0035414D" w:rsidRPr="007D20DA">
        <w:t>substantial separation distances to the nearest residential properties.</w:t>
      </w:r>
    </w:p>
    <w:p w14:paraId="3CCDD4D4" w14:textId="597B6756" w:rsidR="00E11407" w:rsidRDefault="005E0A3D" w:rsidP="00E11407">
      <w:pPr>
        <w:pStyle w:val="EHead1"/>
      </w:pPr>
      <w:bookmarkStart w:id="51" w:name="_Toc171346791"/>
      <w:r>
        <w:t>Water Environment</w:t>
      </w:r>
      <w:bookmarkEnd w:id="51"/>
    </w:p>
    <w:p w14:paraId="3F6AAC85" w14:textId="77777777" w:rsidR="00E11407" w:rsidRDefault="00E11407" w:rsidP="00E11407">
      <w:pPr>
        <w:pStyle w:val="Heading2"/>
      </w:pPr>
      <w:r>
        <w:t>Issues Raised</w:t>
      </w:r>
    </w:p>
    <w:p w14:paraId="1A836AA2" w14:textId="7F1AA41C" w:rsidR="004F22F4" w:rsidRDefault="008E2F75" w:rsidP="00C96395">
      <w:pPr>
        <w:pStyle w:val="BBody1"/>
        <w:numPr>
          <w:ilvl w:val="0"/>
          <w:numId w:val="0"/>
        </w:numPr>
        <w:jc w:val="both"/>
      </w:pPr>
      <w:r w:rsidRPr="00D62EEE">
        <w:t>The Coastal and Flooding Unit of KCC ha</w:t>
      </w:r>
      <w:r w:rsidR="004A4561" w:rsidRPr="00D62EEE">
        <w:t>ve</w:t>
      </w:r>
      <w:r w:rsidRPr="00D62EEE">
        <w:t xml:space="preserve"> no</w:t>
      </w:r>
      <w:r w:rsidR="00A21658" w:rsidRPr="00D62EEE">
        <w:t xml:space="preserve">ted the Proposed Development is </w:t>
      </w:r>
      <w:r w:rsidR="001F04CF" w:rsidRPr="00D62EEE">
        <w:t>classified as a Highly Vulnerable Development within Flood Zone A, and that a justification test is required</w:t>
      </w:r>
      <w:r w:rsidR="007D7B5D" w:rsidRPr="00D62EEE">
        <w:t xml:space="preserve">.  </w:t>
      </w:r>
      <w:r w:rsidR="00D4079E" w:rsidRPr="00D62EEE">
        <w:t xml:space="preserve">A Justification Test has been provided in Appendix 12B </w:t>
      </w:r>
      <w:r w:rsidR="00D62EEE" w:rsidRPr="00D62EEE">
        <w:t>which quantifies the level of flood risk and outlines the mitigation measures proposed</w:t>
      </w:r>
      <w:r w:rsidR="00D62EEE">
        <w:t>.</w:t>
      </w:r>
      <w:r w:rsidR="00DB4DC9">
        <w:t xml:space="preserve"> </w:t>
      </w:r>
      <w:r w:rsidR="006F1137">
        <w:t xml:space="preserve"> </w:t>
      </w:r>
      <w:r w:rsidR="001659FC" w:rsidRPr="005A522D">
        <w:t xml:space="preserve">The Council have recommended that </w:t>
      </w:r>
      <w:r w:rsidR="00CB392B" w:rsidRPr="005A522D">
        <w:t xml:space="preserve">the more conservative </w:t>
      </w:r>
      <w:r w:rsidR="00AF043E">
        <w:t xml:space="preserve">flood </w:t>
      </w:r>
      <w:r w:rsidR="001659FC" w:rsidRPr="005A522D">
        <w:t xml:space="preserve">design Option 3 is </w:t>
      </w:r>
      <w:r w:rsidR="0055559C" w:rsidRPr="005A522D">
        <w:t>implemented</w:t>
      </w:r>
      <w:r w:rsidR="00DB34BD" w:rsidRPr="005A522D">
        <w:t xml:space="preserve"> with a finished Flood Wall/Gate levels of +5.2m OD Malin</w:t>
      </w:r>
      <w:r w:rsidR="000E3B1C">
        <w:t xml:space="preserve"> </w:t>
      </w:r>
      <w:r w:rsidR="005A522D" w:rsidRPr="005A522D">
        <w:t>(+7.</w:t>
      </w:r>
      <w:r w:rsidR="00AF043E">
        <w:t>9</w:t>
      </w:r>
      <w:r w:rsidR="005A522D" w:rsidRPr="005A522D">
        <w:t xml:space="preserve">m OD </w:t>
      </w:r>
      <w:proofErr w:type="spellStart"/>
      <w:r w:rsidR="005A522D" w:rsidRPr="005A522D">
        <w:t>Poolbeg</w:t>
      </w:r>
      <w:proofErr w:type="spellEnd"/>
      <w:r w:rsidR="005A522D" w:rsidRPr="005A522D">
        <w:t xml:space="preserve">) as against the +7.54m OD </w:t>
      </w:r>
      <w:proofErr w:type="spellStart"/>
      <w:r w:rsidR="005A522D" w:rsidRPr="005A522D">
        <w:t>Poolbeg</w:t>
      </w:r>
      <w:proofErr w:type="spellEnd"/>
      <w:r w:rsidR="005A522D" w:rsidRPr="005A522D">
        <w:t xml:space="preserve"> indicated on the drawings</w:t>
      </w:r>
      <w:r w:rsidR="0055559C" w:rsidRPr="005A522D">
        <w:t>.</w:t>
      </w:r>
      <w:r w:rsidR="00313754">
        <w:t xml:space="preserve">  The applicant has responded </w:t>
      </w:r>
      <w:r w:rsidR="00802CB1">
        <w:t xml:space="preserve">to state that ‘Option 3’ is for an extended design life </w:t>
      </w:r>
      <w:r w:rsidR="007D03DA">
        <w:t xml:space="preserve">for the proposed development of 70 years.  This is well </w:t>
      </w:r>
      <w:proofErr w:type="gramStart"/>
      <w:r w:rsidR="007D03DA">
        <w:t>in excess of</w:t>
      </w:r>
      <w:proofErr w:type="gramEnd"/>
      <w:r w:rsidR="007D03DA">
        <w:t xml:space="preserve"> the </w:t>
      </w:r>
      <w:r w:rsidR="00290E31">
        <w:t>25-year</w:t>
      </w:r>
      <w:r w:rsidR="007D03DA">
        <w:t xml:space="preserve"> design life applied for</w:t>
      </w:r>
      <w:r w:rsidR="005F2C1E">
        <w:t>.  The flood wall crest level that is proposed of +7.54m OD</w:t>
      </w:r>
      <w:r w:rsidR="00383C8E">
        <w:t>, provides a suitable standard of protection for the 0.1% AEP extreme water level based on a 25-year design life (plus a 5-year decommissioning perio</w:t>
      </w:r>
      <w:r w:rsidR="0031612B">
        <w:t>d) and the latest assessment of future sea level rise.</w:t>
      </w:r>
      <w:r w:rsidR="009C5DC0">
        <w:t xml:space="preserve">  The applicants state the flood </w:t>
      </w:r>
      <w:r w:rsidR="007A38C8">
        <w:t>wall</w:t>
      </w:r>
      <w:r w:rsidR="009C5DC0">
        <w:t xml:space="preserve"> can be raised in the future</w:t>
      </w:r>
      <w:r w:rsidR="007A38C8">
        <w:t xml:space="preserve"> if required.</w:t>
      </w:r>
    </w:p>
    <w:p w14:paraId="76632691" w14:textId="04738914" w:rsidR="0077391C" w:rsidRDefault="00CE327F" w:rsidP="00C96395">
      <w:pPr>
        <w:pStyle w:val="BBody1"/>
        <w:numPr>
          <w:ilvl w:val="0"/>
          <w:numId w:val="0"/>
        </w:numPr>
        <w:jc w:val="both"/>
      </w:pPr>
      <w:r>
        <w:t>The Planning Department of KCC have noted that Water quality management is potentially a significant issue and, accordingly, any risks to water quality, particularly during the construction phase of the project, must be appropriately managed.</w:t>
      </w:r>
      <w:r w:rsidR="001F06EC">
        <w:t xml:space="preserve">  </w:t>
      </w:r>
      <w:r w:rsidR="00021CE8">
        <w:t>The Council have request</w:t>
      </w:r>
      <w:r w:rsidR="009B16A9">
        <w:t xml:space="preserve">ed </w:t>
      </w:r>
      <w:r w:rsidR="00B26FA8">
        <w:t xml:space="preserve">that </w:t>
      </w:r>
      <w:r w:rsidR="00605C44">
        <w:t>ABP request</w:t>
      </w:r>
      <w:r w:rsidR="00B26FA8">
        <w:t xml:space="preserve"> F</w:t>
      </w:r>
      <w:r w:rsidR="00605C44">
        <w:t>urther Information</w:t>
      </w:r>
      <w:r w:rsidR="00B26FA8">
        <w:t xml:space="preserve"> in relation to domestic wastewater</w:t>
      </w:r>
      <w:r w:rsidR="00130AB5">
        <w:t xml:space="preserve"> to request a Site Suitability Assessment</w:t>
      </w:r>
      <w:r w:rsidR="00E561DD">
        <w:t xml:space="preserve">.  The applicant has responded by stating </w:t>
      </w:r>
      <w:r w:rsidR="00B23596">
        <w:t xml:space="preserve">a Site Suitability Assessment </w:t>
      </w:r>
      <w:r w:rsidR="00E561DD">
        <w:t>is not applicable to the proposed development</w:t>
      </w:r>
      <w:r w:rsidR="00A962AC">
        <w:t xml:space="preserve">, </w:t>
      </w:r>
      <w:r w:rsidR="00A962AC">
        <w:lastRenderedPageBreak/>
        <w:t>which propose</w:t>
      </w:r>
      <w:r w:rsidR="00754504">
        <w:t>s</w:t>
      </w:r>
      <w:r w:rsidR="00A962AC">
        <w:t xml:space="preserve"> the installation of a replacement system that will connect to existing drainage infrastructure on site and discharge to </w:t>
      </w:r>
      <w:r w:rsidR="00040406">
        <w:t>the estuary via an existing outfall, under the IE licence from the EPA.</w:t>
      </w:r>
      <w:r w:rsidR="00EB4BC5">
        <w:t xml:space="preserve">  A Surface Water Management Strategy has been prepared as part of the Planning application (EIAR - Appendix 21B)</w:t>
      </w:r>
      <w:r w:rsidR="00BB2F0A">
        <w:t xml:space="preserve">.  This outlines the proposed point of discharge, attenuation (filter drains and geo-cellular storage), </w:t>
      </w:r>
      <w:proofErr w:type="spellStart"/>
      <w:r w:rsidR="00BB2F0A">
        <w:t>SuDs</w:t>
      </w:r>
      <w:proofErr w:type="spellEnd"/>
      <w:r w:rsidR="00BB2F0A">
        <w:t>, oil separators and maintenance plan for the management of surface water (rainwater)</w:t>
      </w:r>
      <w:r w:rsidR="00BF702B">
        <w:t xml:space="preserve"> at the Proposed Development.  The applicant noted that all wastewater emanating from the </w:t>
      </w:r>
      <w:r w:rsidR="007936A2">
        <w:t>Proposed Development will be regulated under the IE Licence for the site.</w:t>
      </w:r>
    </w:p>
    <w:p w14:paraId="34AA75B8" w14:textId="77777777" w:rsidR="00E11407" w:rsidRDefault="00E11407" w:rsidP="00684225">
      <w:pPr>
        <w:pStyle w:val="Heading2"/>
      </w:pPr>
      <w:r w:rsidRPr="00302D10">
        <w:t>Context</w:t>
      </w:r>
    </w:p>
    <w:p w14:paraId="3ADB274A" w14:textId="07D9D407" w:rsidR="004F22F4" w:rsidRPr="002B0FA3" w:rsidRDefault="004A594C" w:rsidP="002B0FA3">
      <w:pPr>
        <w:pStyle w:val="BBody1"/>
        <w:numPr>
          <w:ilvl w:val="0"/>
          <w:numId w:val="0"/>
        </w:numPr>
        <w:jc w:val="both"/>
      </w:pPr>
      <w:r w:rsidRPr="002B0FA3">
        <w:t xml:space="preserve">EIAR Chapter 12 </w:t>
      </w:r>
      <w:r w:rsidR="009A2E51" w:rsidRPr="002B0FA3">
        <w:t>with Appendic</w:t>
      </w:r>
      <w:r w:rsidR="008E735D" w:rsidRPr="002B0FA3">
        <w:t>es 12A (Flood Risk Assessment), 12B</w:t>
      </w:r>
      <w:r w:rsidR="00B752DA">
        <w:t xml:space="preserve"> (</w:t>
      </w:r>
      <w:r w:rsidR="00D931FA">
        <w:t>Surface Water D</w:t>
      </w:r>
      <w:r w:rsidR="00D54488">
        <w:t>rainage Strategy)</w:t>
      </w:r>
      <w:r w:rsidR="008E735D" w:rsidRPr="002B0FA3">
        <w:t xml:space="preserve"> and 12C</w:t>
      </w:r>
      <w:r w:rsidR="00C761C9" w:rsidRPr="002B0FA3">
        <w:t xml:space="preserve"> and associated Figures 12.1 – 12.3</w:t>
      </w:r>
      <w:r w:rsidR="002B0FA3" w:rsidRPr="002B0FA3">
        <w:t xml:space="preserve">, has assessed the potential impacts from the Proposed Development on the water environment and flood risk during </w:t>
      </w:r>
      <w:r w:rsidR="00290E31">
        <w:t>all</w:t>
      </w:r>
      <w:r w:rsidR="002B0FA3" w:rsidRPr="002B0FA3">
        <w:t xml:space="preserve"> phases</w:t>
      </w:r>
      <w:r w:rsidR="00290E31">
        <w:t xml:space="preserve"> of development</w:t>
      </w:r>
      <w:r w:rsidR="002B0FA3" w:rsidRPr="002B0FA3">
        <w:t>.  The EIAR describes the methodology used, the baseline conditions, the mitigation proposed.  The assessment was based on Desk Studies and Site Surveys and Monitoring.</w:t>
      </w:r>
    </w:p>
    <w:p w14:paraId="75DBA6D4" w14:textId="77777777" w:rsidR="00E11407" w:rsidRDefault="00E11407" w:rsidP="00684225">
      <w:pPr>
        <w:pStyle w:val="Heading2"/>
      </w:pPr>
      <w:r>
        <w:t>Baseline</w:t>
      </w:r>
    </w:p>
    <w:p w14:paraId="02A9532C" w14:textId="21B714B7" w:rsidR="004F22F4" w:rsidRDefault="005D5198" w:rsidP="00C04C73">
      <w:pPr>
        <w:pStyle w:val="BBody1"/>
        <w:numPr>
          <w:ilvl w:val="0"/>
          <w:numId w:val="0"/>
        </w:numPr>
        <w:jc w:val="both"/>
      </w:pPr>
      <w:r>
        <w:t>The study area for water receptors encompasses the entire area within the Site, and water features within a 2km radius.</w:t>
      </w:r>
      <w:r w:rsidR="000B5E47">
        <w:t xml:space="preserve">  A qualitative assessment of the likely significant effects on the water environment has been undertaken, using the source-pathway-receptor approach.</w:t>
      </w:r>
      <w:r w:rsidR="008F5F1E">
        <w:t xml:space="preserve">  A Flood Risk Assessment is provided in Appendix 12A (EIAR Volume II) which assesses flood risk for the Site.</w:t>
      </w:r>
    </w:p>
    <w:p w14:paraId="465F71F7" w14:textId="4AA7B8DB" w:rsidR="00C04C73" w:rsidRDefault="00130921" w:rsidP="00C04C73">
      <w:pPr>
        <w:pStyle w:val="BBody1"/>
        <w:numPr>
          <w:ilvl w:val="0"/>
          <w:numId w:val="0"/>
        </w:numPr>
        <w:jc w:val="both"/>
      </w:pPr>
      <w:r>
        <w:t xml:space="preserve">The topography of most of Tarbert Island is generally flat and lies at an elevation of 3m to 5m above Ordnance Datum (AOD), </w:t>
      </w:r>
      <w:proofErr w:type="gramStart"/>
      <w:r>
        <w:t>with the exception of</w:t>
      </w:r>
      <w:proofErr w:type="gramEnd"/>
      <w:r>
        <w:t xml:space="preserve"> the water reservoir. </w:t>
      </w:r>
      <w:r w:rsidR="00D10FD2">
        <w:t>The Site is surrounded by the Lower Shannon Estuary WFD transitional water body (IE_SH_060_0300). A lagoon, located along the southern boundary of the Tarbert HFO Power Station site, separates Tarbert Island from the mainland.</w:t>
      </w:r>
      <w:r w:rsidR="00290E31">
        <w:t xml:space="preserve"> </w:t>
      </w:r>
      <w:r w:rsidR="00D10FD2">
        <w:t xml:space="preserve"> The nearest EPA mapped river waterbody is at 1.7km to the south of the Site and is named Tarbert</w:t>
      </w:r>
      <w:r w:rsidR="005E2625">
        <w:t>-</w:t>
      </w:r>
      <w:r w:rsidR="00D10FD2">
        <w:t xml:space="preserve">010. </w:t>
      </w:r>
      <w:r w:rsidR="008312D5">
        <w:t xml:space="preserve">In terms of Surface Water Quality </w:t>
      </w:r>
      <w:r w:rsidR="00165468">
        <w:t xml:space="preserve">there is one (No. 1) river monitoring station located on the Tarbert_010 river waterbody, </w:t>
      </w:r>
      <w:r w:rsidR="00771DB6">
        <w:t xml:space="preserve">which has a Q value of </w:t>
      </w:r>
      <w:r w:rsidR="00B001AB">
        <w:t>Moderate (Q3-4).</w:t>
      </w:r>
    </w:p>
    <w:p w14:paraId="3EE22234" w14:textId="7E3CA229" w:rsidR="00770555" w:rsidRPr="004F22F4" w:rsidRDefault="00770555" w:rsidP="00C04C73">
      <w:pPr>
        <w:pStyle w:val="BBody1"/>
        <w:numPr>
          <w:ilvl w:val="0"/>
          <w:numId w:val="0"/>
        </w:numPr>
        <w:jc w:val="both"/>
      </w:pPr>
      <w:r>
        <w:lastRenderedPageBreak/>
        <w:t xml:space="preserve">The CFRAM maps indicate that the </w:t>
      </w:r>
      <w:r w:rsidR="003E1E61">
        <w:t>site</w:t>
      </w:r>
      <w:r>
        <w:t xml:space="preserve"> is in Flood Zone A for the present day and therefore the risk of coastal flooding has a high probability (OPW, 2023).</w:t>
      </w:r>
    </w:p>
    <w:p w14:paraId="569BD00F" w14:textId="77777777" w:rsidR="00E11407" w:rsidRDefault="00E11407" w:rsidP="00E11407">
      <w:pPr>
        <w:pStyle w:val="Heading2"/>
      </w:pPr>
      <w:r>
        <w:t>Potential Effects</w:t>
      </w:r>
    </w:p>
    <w:p w14:paraId="3289B3C8" w14:textId="3257B77D" w:rsidR="00E11407" w:rsidRPr="00EB28E7" w:rsidRDefault="00E11407" w:rsidP="00E11407">
      <w:pPr>
        <w:jc w:val="both"/>
        <w:rPr>
          <w:rFonts w:ascii="Arial" w:hAnsi="Arial" w:cs="Arial"/>
          <w:sz w:val="24"/>
          <w:szCs w:val="24"/>
        </w:rPr>
      </w:pPr>
      <w:r w:rsidRPr="00E10034">
        <w:rPr>
          <w:rFonts w:ascii="Arial" w:hAnsi="Arial" w:cs="Arial"/>
          <w:sz w:val="24"/>
          <w:szCs w:val="24"/>
        </w:rPr>
        <w:t xml:space="preserve">Likely significant effects of the development, as identified in the EIAR are summarised in Table </w:t>
      </w:r>
      <w:r w:rsidR="00EE463B">
        <w:rPr>
          <w:rFonts w:ascii="Arial" w:hAnsi="Arial" w:cs="Arial"/>
          <w:sz w:val="24"/>
          <w:szCs w:val="24"/>
        </w:rPr>
        <w:t>13</w:t>
      </w:r>
      <w:r w:rsidRPr="00E10034">
        <w:rPr>
          <w:rFonts w:ascii="Arial" w:hAnsi="Arial" w:cs="Arial"/>
          <w:sz w:val="24"/>
          <w:szCs w:val="24"/>
        </w:rPr>
        <w:t>.1 below.</w:t>
      </w:r>
    </w:p>
    <w:tbl>
      <w:tblPr>
        <w:tblStyle w:val="TableGrid"/>
        <w:tblW w:w="0" w:type="auto"/>
        <w:tblLook w:val="04A0" w:firstRow="1" w:lastRow="0" w:firstColumn="1" w:lastColumn="0" w:noHBand="0" w:noVBand="1"/>
      </w:tblPr>
      <w:tblGrid>
        <w:gridCol w:w="9016"/>
      </w:tblGrid>
      <w:tr w:rsidR="00E11407" w:rsidRPr="00E10034" w14:paraId="349E02AB" w14:textId="77777777" w:rsidTr="00673FA2">
        <w:tc>
          <w:tcPr>
            <w:tcW w:w="9016" w:type="dxa"/>
            <w:shd w:val="clear" w:color="auto" w:fill="BFBFBF" w:themeFill="background1" w:themeFillShade="BF"/>
          </w:tcPr>
          <w:p w14:paraId="67C2BB72" w14:textId="4327C20F" w:rsidR="00E11407" w:rsidRPr="004C27B1" w:rsidRDefault="00E11407" w:rsidP="00673FA2">
            <w:pPr>
              <w:tabs>
                <w:tab w:val="center" w:pos="4400"/>
              </w:tabs>
              <w:jc w:val="both"/>
              <w:rPr>
                <w:rFonts w:ascii="Arial" w:hAnsi="Arial" w:cs="Arial"/>
                <w:b/>
                <w:bCs/>
              </w:rPr>
            </w:pPr>
            <w:r w:rsidRPr="004C27B1">
              <w:rPr>
                <w:rFonts w:ascii="Arial" w:hAnsi="Arial" w:cs="Arial"/>
                <w:b/>
                <w:bCs/>
              </w:rPr>
              <w:t xml:space="preserve">Table </w:t>
            </w:r>
            <w:r w:rsidR="00EE463B" w:rsidRPr="004C27B1">
              <w:rPr>
                <w:rFonts w:ascii="Arial" w:hAnsi="Arial" w:cs="Arial"/>
                <w:b/>
                <w:bCs/>
              </w:rPr>
              <w:t>13</w:t>
            </w:r>
            <w:r w:rsidRPr="004C27B1">
              <w:rPr>
                <w:rFonts w:ascii="Arial" w:hAnsi="Arial" w:cs="Arial"/>
                <w:b/>
                <w:bCs/>
              </w:rPr>
              <w:t>.1:  Summary of Potential Effects (</w:t>
            </w:r>
            <w:r w:rsidR="00EE463B" w:rsidRPr="004C27B1">
              <w:rPr>
                <w:rFonts w:ascii="Arial" w:hAnsi="Arial" w:cs="Arial"/>
                <w:b/>
                <w:bCs/>
              </w:rPr>
              <w:t>Water Environment</w:t>
            </w:r>
            <w:r w:rsidRPr="004C27B1">
              <w:rPr>
                <w:rFonts w:ascii="Arial" w:hAnsi="Arial" w:cs="Arial"/>
                <w:b/>
                <w:bCs/>
              </w:rPr>
              <w:t>)</w:t>
            </w:r>
          </w:p>
        </w:tc>
      </w:tr>
      <w:tr w:rsidR="00E11407" w:rsidRPr="00E10034" w14:paraId="240A11C6" w14:textId="77777777" w:rsidTr="00673FA2">
        <w:tc>
          <w:tcPr>
            <w:tcW w:w="9016" w:type="dxa"/>
            <w:shd w:val="clear" w:color="auto" w:fill="D9D9D9" w:themeFill="background1" w:themeFillShade="D9"/>
          </w:tcPr>
          <w:p w14:paraId="2CD9366F" w14:textId="77777777" w:rsidR="00E11407" w:rsidRPr="004C27B1" w:rsidRDefault="00E11407" w:rsidP="00673FA2">
            <w:pPr>
              <w:tabs>
                <w:tab w:val="center" w:pos="4400"/>
              </w:tabs>
              <w:jc w:val="both"/>
              <w:rPr>
                <w:rFonts w:ascii="Arial" w:hAnsi="Arial" w:cs="Arial"/>
              </w:rPr>
            </w:pPr>
            <w:r w:rsidRPr="004C27B1">
              <w:rPr>
                <w:rFonts w:ascii="Arial" w:hAnsi="Arial" w:cs="Arial"/>
                <w:b/>
                <w:bCs/>
              </w:rPr>
              <w:t>Do Nothing</w:t>
            </w:r>
            <w:r w:rsidRPr="004C27B1">
              <w:rPr>
                <w:rFonts w:ascii="Arial" w:hAnsi="Arial" w:cs="Arial"/>
                <w:b/>
                <w:bCs/>
              </w:rPr>
              <w:tab/>
            </w:r>
          </w:p>
        </w:tc>
      </w:tr>
      <w:tr w:rsidR="00E11407" w:rsidRPr="00E10034" w14:paraId="2F9BC619" w14:textId="77777777" w:rsidTr="00673FA2">
        <w:tc>
          <w:tcPr>
            <w:tcW w:w="9016" w:type="dxa"/>
          </w:tcPr>
          <w:p w14:paraId="31589D6A" w14:textId="3F3651F7" w:rsidR="00E11407" w:rsidRPr="004C27B1" w:rsidRDefault="00E31A49" w:rsidP="00C6208E">
            <w:pPr>
              <w:pStyle w:val="ListParagraph"/>
              <w:numPr>
                <w:ilvl w:val="0"/>
                <w:numId w:val="41"/>
              </w:numPr>
              <w:spacing w:after="0" w:line="240" w:lineRule="auto"/>
              <w:jc w:val="both"/>
              <w:rPr>
                <w:sz w:val="22"/>
                <w:szCs w:val="22"/>
              </w:rPr>
            </w:pPr>
            <w:r w:rsidRPr="004C27B1">
              <w:rPr>
                <w:sz w:val="22"/>
                <w:szCs w:val="22"/>
              </w:rPr>
              <w:t>Should the Proposed Development not be progressed, the baseline condition of the water environment would likely remain much the same</w:t>
            </w:r>
            <w:r w:rsidR="00290E31">
              <w:rPr>
                <w:sz w:val="22"/>
                <w:szCs w:val="22"/>
              </w:rPr>
              <w:t>.</w:t>
            </w:r>
          </w:p>
        </w:tc>
      </w:tr>
      <w:tr w:rsidR="00E11407" w:rsidRPr="00E10034" w14:paraId="00FC57AA" w14:textId="77777777" w:rsidTr="00673FA2">
        <w:tc>
          <w:tcPr>
            <w:tcW w:w="9016" w:type="dxa"/>
            <w:shd w:val="clear" w:color="auto" w:fill="D9D9D9" w:themeFill="background1" w:themeFillShade="D9"/>
          </w:tcPr>
          <w:p w14:paraId="060B77B7" w14:textId="16280DA5" w:rsidR="00E11407" w:rsidRPr="004C27B1" w:rsidRDefault="00E11407" w:rsidP="00673FA2">
            <w:pPr>
              <w:jc w:val="both"/>
              <w:rPr>
                <w:rFonts w:ascii="Arial" w:hAnsi="Arial" w:cs="Arial"/>
              </w:rPr>
            </w:pPr>
            <w:r w:rsidRPr="004C27B1">
              <w:rPr>
                <w:rFonts w:ascii="Arial" w:hAnsi="Arial" w:cs="Arial"/>
                <w:b/>
                <w:bCs/>
              </w:rPr>
              <w:t>Construction</w:t>
            </w:r>
            <w:r w:rsidR="00C04744" w:rsidRPr="004C27B1">
              <w:rPr>
                <w:rFonts w:ascii="Arial" w:hAnsi="Arial" w:cs="Arial"/>
                <w:b/>
                <w:bCs/>
              </w:rPr>
              <w:t xml:space="preserve"> and Decommissioning</w:t>
            </w:r>
          </w:p>
        </w:tc>
      </w:tr>
      <w:tr w:rsidR="00E11407" w:rsidRPr="00E10034" w14:paraId="745CB2FD" w14:textId="77777777" w:rsidTr="00673FA2">
        <w:tc>
          <w:tcPr>
            <w:tcW w:w="9016" w:type="dxa"/>
          </w:tcPr>
          <w:p w14:paraId="262BAB70" w14:textId="4216B90B" w:rsidR="00E11407" w:rsidRPr="004C27B1" w:rsidRDefault="00C04744" w:rsidP="00C6208E">
            <w:pPr>
              <w:pStyle w:val="ListParagraph"/>
              <w:numPr>
                <w:ilvl w:val="0"/>
                <w:numId w:val="41"/>
              </w:numPr>
              <w:spacing w:after="0" w:line="240" w:lineRule="auto"/>
              <w:jc w:val="both"/>
              <w:rPr>
                <w:sz w:val="22"/>
                <w:szCs w:val="22"/>
              </w:rPr>
            </w:pPr>
            <w:r w:rsidRPr="004C27B1">
              <w:rPr>
                <w:sz w:val="22"/>
                <w:szCs w:val="22"/>
              </w:rPr>
              <w:t>Potential impacts identified included sedimentation of surface water features from construction works; pollution of surface waters from accidental spills and leaks of fuels and chemicals; and alteration of pH in surface water features associated with the use of concrete and lime.</w:t>
            </w:r>
          </w:p>
        </w:tc>
      </w:tr>
      <w:tr w:rsidR="00E11407" w:rsidRPr="00E10034" w14:paraId="22E5EC15" w14:textId="77777777" w:rsidTr="00673FA2">
        <w:tc>
          <w:tcPr>
            <w:tcW w:w="9016" w:type="dxa"/>
            <w:shd w:val="clear" w:color="auto" w:fill="D9D9D9" w:themeFill="background1" w:themeFillShade="D9"/>
          </w:tcPr>
          <w:p w14:paraId="234B82CE" w14:textId="77777777" w:rsidR="00E11407" w:rsidRPr="004C27B1" w:rsidRDefault="00E11407" w:rsidP="00673FA2">
            <w:pPr>
              <w:jc w:val="both"/>
              <w:rPr>
                <w:rFonts w:ascii="Arial" w:hAnsi="Arial" w:cs="Arial"/>
              </w:rPr>
            </w:pPr>
            <w:r w:rsidRPr="004C27B1">
              <w:rPr>
                <w:rFonts w:ascii="Arial" w:hAnsi="Arial" w:cs="Arial"/>
                <w:b/>
                <w:bCs/>
              </w:rPr>
              <w:t>Operational Impacts</w:t>
            </w:r>
          </w:p>
        </w:tc>
      </w:tr>
      <w:tr w:rsidR="00E11407" w:rsidRPr="00E10034" w14:paraId="3A625220" w14:textId="77777777" w:rsidTr="00673FA2">
        <w:tc>
          <w:tcPr>
            <w:tcW w:w="9016" w:type="dxa"/>
          </w:tcPr>
          <w:p w14:paraId="3F890077" w14:textId="492456FD" w:rsidR="00E11407" w:rsidRPr="004C27B1" w:rsidRDefault="00170A54" w:rsidP="00C6208E">
            <w:pPr>
              <w:pStyle w:val="ListParagraph"/>
              <w:numPr>
                <w:ilvl w:val="0"/>
                <w:numId w:val="42"/>
              </w:numPr>
              <w:spacing w:after="0" w:line="240" w:lineRule="auto"/>
              <w:jc w:val="both"/>
              <w:rPr>
                <w:sz w:val="22"/>
                <w:szCs w:val="22"/>
              </w:rPr>
            </w:pPr>
            <w:r w:rsidRPr="004C27B1">
              <w:rPr>
                <w:sz w:val="22"/>
                <w:szCs w:val="22"/>
              </w:rPr>
              <w:t>The potential impacts identified include the potential increase in volume and rate of surface water run-off from new impervious areas and process water and water treatment plant discharges.</w:t>
            </w:r>
          </w:p>
          <w:p w14:paraId="611D4163" w14:textId="219F6DB9" w:rsidR="00E11407" w:rsidRPr="004C27B1" w:rsidRDefault="00367079" w:rsidP="00C6208E">
            <w:pPr>
              <w:pStyle w:val="ListParagraph"/>
              <w:numPr>
                <w:ilvl w:val="0"/>
                <w:numId w:val="42"/>
              </w:numPr>
              <w:spacing w:after="0" w:line="240" w:lineRule="auto"/>
              <w:jc w:val="both"/>
              <w:rPr>
                <w:sz w:val="22"/>
                <w:szCs w:val="22"/>
              </w:rPr>
            </w:pPr>
            <w:r w:rsidRPr="004C27B1">
              <w:rPr>
                <w:rStyle w:val="Heading2Char"/>
                <w:b w:val="0"/>
                <w:bCs/>
                <w:sz w:val="22"/>
                <w:szCs w:val="22"/>
              </w:rPr>
              <w:t>The site-specific FRA included two stages; the ‘Stage 1 – Flood Risk Identification’ determined negligible risk of flooding to the Proposed Development from fluvial and groundwater sources. However, it did</w:t>
            </w:r>
            <w:r w:rsidR="00211DBC" w:rsidRPr="004C27B1">
              <w:rPr>
                <w:rStyle w:val="Heading2Char"/>
                <w:b w:val="0"/>
                <w:bCs/>
                <w:sz w:val="22"/>
                <w:szCs w:val="22"/>
              </w:rPr>
              <w:t xml:space="preserve"> identify the potential flow flood mechanisms associated with coastal and pluvial events could impact the Proposed Development, which were further assessed in the ‘Stage 2 – Initial Flood Risk Assessment’. The study estimates that the Proposed Development and surrounding area will be inundated during peak tide levels for all Climate Change future scenarios indicating the risk of flooding is very high</w:t>
            </w:r>
            <w:r w:rsidR="00211DBC" w:rsidRPr="004C27B1">
              <w:rPr>
                <w:sz w:val="22"/>
                <w:szCs w:val="22"/>
              </w:rPr>
              <w:t>.</w:t>
            </w:r>
            <w:r w:rsidR="002C5682" w:rsidRPr="004C27B1">
              <w:rPr>
                <w:sz w:val="22"/>
                <w:szCs w:val="22"/>
              </w:rPr>
              <w:t xml:space="preserve">  Based on the CFRAM flood depth mapping, it is expected that the Proposed Development will flood to a depth of 0.25m to 0.5 m during a 0.5% AEP event.</w:t>
            </w:r>
          </w:p>
        </w:tc>
      </w:tr>
      <w:tr w:rsidR="003420EB" w:rsidRPr="00E10034" w14:paraId="11975D35" w14:textId="77777777" w:rsidTr="00673FA2">
        <w:tc>
          <w:tcPr>
            <w:tcW w:w="9016" w:type="dxa"/>
            <w:shd w:val="clear" w:color="auto" w:fill="D9D9D9" w:themeFill="background1" w:themeFillShade="D9"/>
          </w:tcPr>
          <w:p w14:paraId="4621967F" w14:textId="6681E1C7" w:rsidR="003420EB" w:rsidRPr="004C27B1" w:rsidRDefault="003420EB" w:rsidP="00673FA2">
            <w:pPr>
              <w:jc w:val="both"/>
              <w:rPr>
                <w:rFonts w:ascii="Arial" w:hAnsi="Arial" w:cs="Arial"/>
                <w:b/>
                <w:bCs/>
              </w:rPr>
            </w:pPr>
            <w:r w:rsidRPr="004C27B1">
              <w:rPr>
                <w:rFonts w:ascii="Arial" w:hAnsi="Arial" w:cs="Arial"/>
                <w:b/>
                <w:bCs/>
              </w:rPr>
              <w:t>Decommissioning Impacts</w:t>
            </w:r>
          </w:p>
        </w:tc>
      </w:tr>
      <w:tr w:rsidR="003420EB" w:rsidRPr="00E10034" w14:paraId="6A5154A6" w14:textId="77777777" w:rsidTr="003420EB">
        <w:tc>
          <w:tcPr>
            <w:tcW w:w="9016" w:type="dxa"/>
            <w:shd w:val="clear" w:color="auto" w:fill="auto"/>
          </w:tcPr>
          <w:p w14:paraId="63DE82EB" w14:textId="7862CD63" w:rsidR="003420EB" w:rsidRPr="004C27B1" w:rsidRDefault="0005557F" w:rsidP="00C6208E">
            <w:pPr>
              <w:pStyle w:val="ListParagraph"/>
              <w:numPr>
                <w:ilvl w:val="0"/>
                <w:numId w:val="52"/>
              </w:numPr>
              <w:spacing w:after="0" w:line="240" w:lineRule="auto"/>
              <w:jc w:val="both"/>
              <w:rPr>
                <w:b/>
                <w:bCs/>
                <w:sz w:val="22"/>
                <w:szCs w:val="22"/>
              </w:rPr>
            </w:pPr>
            <w:r>
              <w:rPr>
                <w:sz w:val="22"/>
                <w:szCs w:val="22"/>
              </w:rPr>
              <w:t>E</w:t>
            </w:r>
            <w:r w:rsidR="0025360B" w:rsidRPr="004C27B1">
              <w:rPr>
                <w:sz w:val="22"/>
                <w:szCs w:val="22"/>
              </w:rPr>
              <w:t xml:space="preserve">ffects arising from decommissioning of the Proposed Development </w:t>
            </w:r>
            <w:proofErr w:type="gramStart"/>
            <w:r w:rsidR="0025360B" w:rsidRPr="004C27B1">
              <w:rPr>
                <w:sz w:val="22"/>
                <w:szCs w:val="22"/>
              </w:rPr>
              <w:t>are considered to be</w:t>
            </w:r>
            <w:proofErr w:type="gramEnd"/>
            <w:r w:rsidR="0025360B" w:rsidRPr="004C27B1">
              <w:rPr>
                <w:sz w:val="22"/>
                <w:szCs w:val="22"/>
              </w:rPr>
              <w:t xml:space="preserve"> of a similar nature and duration to those arising from the construction phase</w:t>
            </w:r>
            <w:r w:rsidR="004B118D">
              <w:rPr>
                <w:sz w:val="22"/>
                <w:szCs w:val="22"/>
              </w:rPr>
              <w:t>.</w:t>
            </w:r>
          </w:p>
        </w:tc>
      </w:tr>
      <w:tr w:rsidR="00E11407" w:rsidRPr="00E10034" w14:paraId="6C530783" w14:textId="77777777" w:rsidTr="00673FA2">
        <w:tc>
          <w:tcPr>
            <w:tcW w:w="9016" w:type="dxa"/>
            <w:shd w:val="clear" w:color="auto" w:fill="D9D9D9" w:themeFill="background1" w:themeFillShade="D9"/>
          </w:tcPr>
          <w:p w14:paraId="300FE1B7" w14:textId="77777777" w:rsidR="00E11407" w:rsidRPr="004C27B1" w:rsidRDefault="00E11407" w:rsidP="00673FA2">
            <w:pPr>
              <w:jc w:val="both"/>
              <w:rPr>
                <w:rFonts w:ascii="Arial" w:hAnsi="Arial" w:cs="Arial"/>
              </w:rPr>
            </w:pPr>
            <w:r w:rsidRPr="004C27B1">
              <w:rPr>
                <w:rFonts w:ascii="Arial" w:hAnsi="Arial" w:cs="Arial"/>
                <w:b/>
                <w:bCs/>
              </w:rPr>
              <w:t>Cumulative Impacts</w:t>
            </w:r>
          </w:p>
        </w:tc>
      </w:tr>
      <w:tr w:rsidR="00E11407" w:rsidRPr="00E10034" w14:paraId="2ED9B82F" w14:textId="77777777" w:rsidTr="00673FA2">
        <w:tc>
          <w:tcPr>
            <w:tcW w:w="9016" w:type="dxa"/>
          </w:tcPr>
          <w:p w14:paraId="790ACFFB" w14:textId="54603910" w:rsidR="00E11407" w:rsidRPr="004C27B1" w:rsidRDefault="00952C30" w:rsidP="00C6208E">
            <w:pPr>
              <w:pStyle w:val="ListParagraph"/>
              <w:numPr>
                <w:ilvl w:val="0"/>
                <w:numId w:val="43"/>
              </w:numPr>
              <w:spacing w:after="0" w:line="240" w:lineRule="auto"/>
              <w:jc w:val="both"/>
              <w:rPr>
                <w:sz w:val="22"/>
                <w:szCs w:val="22"/>
              </w:rPr>
            </w:pPr>
            <w:r w:rsidRPr="004C27B1">
              <w:rPr>
                <w:sz w:val="22"/>
                <w:szCs w:val="22"/>
              </w:rPr>
              <w:t>With the proposed control measures implemented</w:t>
            </w:r>
            <w:r w:rsidR="004B118D">
              <w:rPr>
                <w:sz w:val="22"/>
                <w:szCs w:val="22"/>
              </w:rPr>
              <w:t xml:space="preserve">, </w:t>
            </w:r>
            <w:r w:rsidRPr="004C27B1">
              <w:rPr>
                <w:sz w:val="22"/>
                <w:szCs w:val="22"/>
              </w:rPr>
              <w:t>cumulative impact will not be significant.</w:t>
            </w:r>
          </w:p>
        </w:tc>
      </w:tr>
    </w:tbl>
    <w:p w14:paraId="33B7A6EC" w14:textId="77777777" w:rsidR="00E11407" w:rsidRDefault="00E11407" w:rsidP="00E11407">
      <w:pPr>
        <w:pStyle w:val="Heading2"/>
      </w:pPr>
      <w:r>
        <w:t>Mitigation</w:t>
      </w:r>
    </w:p>
    <w:p w14:paraId="7C0DA2D3" w14:textId="1676B448" w:rsidR="00680AAF" w:rsidRPr="00680AAF" w:rsidRDefault="00EC4FEB" w:rsidP="00A20FC6">
      <w:pPr>
        <w:pStyle w:val="BBody1"/>
        <w:numPr>
          <w:ilvl w:val="0"/>
          <w:numId w:val="0"/>
        </w:numPr>
        <w:jc w:val="both"/>
      </w:pPr>
      <w:proofErr w:type="gramStart"/>
      <w:r>
        <w:t>A number of</w:t>
      </w:r>
      <w:proofErr w:type="gramEnd"/>
      <w:r>
        <w:t xml:space="preserve"> mitigation measures that are standard good practice for development of this type, and which are required to comply with environmental protection legislation will be implemented</w:t>
      </w:r>
      <w:r w:rsidR="00265DEE">
        <w:t xml:space="preserve"> to prevent sedimentation of surface waters</w:t>
      </w:r>
      <w:r w:rsidR="00265C10">
        <w:t xml:space="preserve"> and flood risk.  The measures will also</w:t>
      </w:r>
      <w:r w:rsidR="00F12463">
        <w:t xml:space="preserve"> </w:t>
      </w:r>
      <w:r w:rsidR="00265DEE">
        <w:t>ensure appropriate f</w:t>
      </w:r>
      <w:r>
        <w:t>uel and chemical handling</w:t>
      </w:r>
      <w:r w:rsidR="00265DEE">
        <w:t xml:space="preserve"> and</w:t>
      </w:r>
      <w:r w:rsidR="00F12463">
        <w:t xml:space="preserve"> </w:t>
      </w:r>
      <w:r w:rsidR="00265DEE">
        <w:t>c</w:t>
      </w:r>
      <w:r>
        <w:t>ontrol of concrete and lime</w:t>
      </w:r>
      <w:r w:rsidR="00265C10">
        <w:t xml:space="preserve">. </w:t>
      </w:r>
      <w:r>
        <w:t xml:space="preserve"> </w:t>
      </w:r>
      <w:r w:rsidR="00F12463">
        <w:t>The applicants CEMP</w:t>
      </w:r>
      <w:r>
        <w:t xml:space="preserve"> includes </w:t>
      </w:r>
      <w:proofErr w:type="gramStart"/>
      <w:r>
        <w:t>a number of</w:t>
      </w:r>
      <w:proofErr w:type="gramEnd"/>
      <w:r>
        <w:t xml:space="preserve"> mitigation measures </w:t>
      </w:r>
      <w:r>
        <w:lastRenderedPageBreak/>
        <w:t xml:space="preserve">with regards to water. The </w:t>
      </w:r>
      <w:r w:rsidR="00F12463">
        <w:t xml:space="preserve">CEMP </w:t>
      </w:r>
      <w:r>
        <w:t xml:space="preserve">will be updated by the Contractor for the Proposed Development to reduce potential environmental impact. </w:t>
      </w:r>
    </w:p>
    <w:p w14:paraId="1B42006F" w14:textId="77777777" w:rsidR="00E11407" w:rsidRDefault="00E11407" w:rsidP="00E11407">
      <w:pPr>
        <w:pStyle w:val="Heading2"/>
      </w:pPr>
      <w:r>
        <w:t>Residual Effects</w:t>
      </w:r>
    </w:p>
    <w:p w14:paraId="438E340E" w14:textId="2993B580" w:rsidR="00680AAF" w:rsidRPr="00680AAF" w:rsidRDefault="00512638" w:rsidP="00782204">
      <w:pPr>
        <w:pStyle w:val="BBody1"/>
        <w:numPr>
          <w:ilvl w:val="0"/>
          <w:numId w:val="0"/>
        </w:numPr>
        <w:jc w:val="both"/>
      </w:pPr>
      <w:r>
        <w:t xml:space="preserve">For the </w:t>
      </w:r>
      <w:r w:rsidR="00211A90">
        <w:t xml:space="preserve">Construction </w:t>
      </w:r>
      <w:r w:rsidR="00CC14D7">
        <w:t>and Operation</w:t>
      </w:r>
      <w:r w:rsidR="00782204">
        <w:t>al</w:t>
      </w:r>
      <w:r w:rsidR="00CC14D7">
        <w:t xml:space="preserve"> </w:t>
      </w:r>
      <w:r w:rsidR="00211A90">
        <w:t>Phase</w:t>
      </w:r>
      <w:r w:rsidR="00B74232">
        <w:t>s</w:t>
      </w:r>
      <w:r>
        <w:t xml:space="preserve">, </w:t>
      </w:r>
      <w:r w:rsidR="00234A4B">
        <w:t>following</w:t>
      </w:r>
      <w:r w:rsidR="00211A90">
        <w:t xml:space="preserve"> mitigation measures set out in Section 12.6</w:t>
      </w:r>
      <w:r>
        <w:t xml:space="preserve"> of the EIAR</w:t>
      </w:r>
      <w:r w:rsidR="00211A90">
        <w:t>, the magnitude of construction</w:t>
      </w:r>
      <w:r w:rsidR="00CC14D7">
        <w:t xml:space="preserve"> and operational</w:t>
      </w:r>
      <w:r w:rsidR="00211A90">
        <w:t xml:space="preserve"> phase impacts </w:t>
      </w:r>
      <w:proofErr w:type="gramStart"/>
      <w:r w:rsidR="00211A90">
        <w:t>is considered to be</w:t>
      </w:r>
      <w:proofErr w:type="gramEnd"/>
      <w:r w:rsidR="00211A90">
        <w:t xml:space="preserve"> negligible, which combined with the importance of the identified water environment receptors would result in an imperceptible effect. </w:t>
      </w:r>
      <w:r w:rsidR="00782204">
        <w:t xml:space="preserve"> </w:t>
      </w:r>
      <w:r w:rsidR="00211A90">
        <w:t>The residual impact on the water environment is therefore imperceptible.</w:t>
      </w:r>
    </w:p>
    <w:p w14:paraId="6FDBEFCC" w14:textId="77777777" w:rsidR="00E11407" w:rsidRDefault="00E11407" w:rsidP="00E11407">
      <w:pPr>
        <w:pStyle w:val="Heading2"/>
      </w:pPr>
      <w:r>
        <w:t>The Assessment:  Direct and Indirect Effects</w:t>
      </w:r>
    </w:p>
    <w:p w14:paraId="41E8F5BE" w14:textId="363AB5B5" w:rsidR="00A31FDC" w:rsidRDefault="00C66A26" w:rsidP="00E11407">
      <w:pPr>
        <w:pStyle w:val="BBody1"/>
        <w:numPr>
          <w:ilvl w:val="0"/>
          <w:numId w:val="0"/>
        </w:numPr>
        <w:jc w:val="both"/>
      </w:pPr>
      <w:r>
        <w:t>During the construction phase, potential impacts include pollution of waterbodies by uncontrolled site runoff, accidental pollution by spillages and mobilisation of existing contaminants, changes to groundwater levels, flows and contributions to GWDTEs by dewatering and changes to flood risk.</w:t>
      </w:r>
      <w:r w:rsidR="00D154C6">
        <w:t xml:space="preserve">  I am satisfied that following</w:t>
      </w:r>
      <w:r w:rsidR="0056627C">
        <w:t xml:space="preserve"> the implementation of</w:t>
      </w:r>
      <w:r w:rsidR="00D154C6">
        <w:t xml:space="preserve"> embedded mitigation measures, </w:t>
      </w:r>
      <w:r w:rsidR="00CF7AA3">
        <w:t xml:space="preserve">implementation of </w:t>
      </w:r>
      <w:r w:rsidR="00D154C6">
        <w:t>the</w:t>
      </w:r>
      <w:r w:rsidR="00CF7AA3">
        <w:t xml:space="preserve"> final</w:t>
      </w:r>
      <w:r w:rsidR="00D154C6">
        <w:t xml:space="preserve"> CEMP, the Surface Water Management </w:t>
      </w:r>
      <w:proofErr w:type="gramStart"/>
      <w:r w:rsidR="00D154C6">
        <w:t>Strategy</w:t>
      </w:r>
      <w:proofErr w:type="gramEnd"/>
      <w:r w:rsidR="00D154C6">
        <w:t xml:space="preserve"> and the proposed Flood Defence Scheme</w:t>
      </w:r>
      <w:r w:rsidR="00A02921">
        <w:t xml:space="preserve"> </w:t>
      </w:r>
      <w:r w:rsidR="009B6B98">
        <w:t xml:space="preserve">that </w:t>
      </w:r>
      <w:r w:rsidR="00A31FDC">
        <w:t xml:space="preserve">no </w:t>
      </w:r>
      <w:r w:rsidR="009B6B98">
        <w:t xml:space="preserve">adverse impacts on the Water Environment </w:t>
      </w:r>
      <w:r w:rsidR="00A31FDC">
        <w:t>are likely to occur.</w:t>
      </w:r>
    </w:p>
    <w:p w14:paraId="466538C3" w14:textId="54A0D887" w:rsidR="00D9358E" w:rsidRDefault="00FE437A" w:rsidP="00077122">
      <w:pPr>
        <w:pStyle w:val="BBody1"/>
        <w:numPr>
          <w:ilvl w:val="0"/>
          <w:numId w:val="0"/>
        </w:numPr>
        <w:jc w:val="both"/>
      </w:pPr>
      <w:r>
        <w:t xml:space="preserve">During the operational phase, potential impacts include pollution of waterbodies by surface water, process wastewater and foul water discharges, accidental pollution by spillages, changes to groundwater levels, flows and contributions to GWDTEs by underground structures and changes to flood risk. </w:t>
      </w:r>
      <w:r w:rsidR="00C126AA">
        <w:t xml:space="preserve"> </w:t>
      </w:r>
      <w:r w:rsidR="00F35317">
        <w:t xml:space="preserve">I </w:t>
      </w:r>
      <w:r w:rsidR="00CF5D12">
        <w:t>consider</w:t>
      </w:r>
      <w:r w:rsidR="00F35317">
        <w:t xml:space="preserve"> that following the implementation of embedded mitigation measures that no </w:t>
      </w:r>
      <w:r w:rsidR="008B29FB">
        <w:t>adverse impacts on the Water Environment are likely to occur.</w:t>
      </w:r>
      <w:r w:rsidR="00424088">
        <w:t xml:space="preserve">  </w:t>
      </w:r>
      <w:r w:rsidR="00A8741A">
        <w:t xml:space="preserve">I am satisfied that </w:t>
      </w:r>
      <w:r w:rsidR="00954240">
        <w:t xml:space="preserve">no significant adverse </w:t>
      </w:r>
      <w:r w:rsidR="00D833F9">
        <w:t xml:space="preserve">impact </w:t>
      </w:r>
      <w:r w:rsidR="00954240">
        <w:t>is likely to arise</w:t>
      </w:r>
      <w:r w:rsidR="008D0C77">
        <w:t xml:space="preserve"> on the WFD status of the adjacent Lower Shannon </w:t>
      </w:r>
      <w:r w:rsidR="00B50B3E">
        <w:t>Estuary</w:t>
      </w:r>
      <w:r w:rsidR="008D0C77">
        <w:t xml:space="preserve"> transitional waterbody and the </w:t>
      </w:r>
      <w:r w:rsidR="00461579">
        <w:t>underlying Ballylongford</w:t>
      </w:r>
      <w:r w:rsidR="00AE1DF3">
        <w:t xml:space="preserve"> </w:t>
      </w:r>
      <w:r w:rsidR="00461579">
        <w:t xml:space="preserve">WFD GWB </w:t>
      </w:r>
      <w:r w:rsidR="008D53B3">
        <w:t xml:space="preserve">following implementation of the </w:t>
      </w:r>
      <w:r w:rsidR="008E2584">
        <w:t xml:space="preserve">proposed </w:t>
      </w:r>
      <w:r w:rsidR="005112EF">
        <w:t>mitigation measures</w:t>
      </w:r>
      <w:r w:rsidR="00954240">
        <w:t>.</w:t>
      </w:r>
      <w:r w:rsidR="00424088">
        <w:t xml:space="preserve">  </w:t>
      </w:r>
      <w:r w:rsidR="00CD7E42">
        <w:t>I am</w:t>
      </w:r>
      <w:r w:rsidR="00424088">
        <w:t xml:space="preserve"> also</w:t>
      </w:r>
      <w:r w:rsidR="00CD7E42">
        <w:t xml:space="preserve"> satisfied that the flood wall defence as proposed </w:t>
      </w:r>
      <w:r w:rsidR="00A13D4C">
        <w:t>at + 7.54m ODP</w:t>
      </w:r>
      <w:r w:rsidR="00623FB8">
        <w:t xml:space="preserve"> </w:t>
      </w:r>
      <w:r w:rsidR="00CD7E42">
        <w:t xml:space="preserve">will provide suitable </w:t>
      </w:r>
      <w:r w:rsidR="00A3291A">
        <w:t>protection</w:t>
      </w:r>
      <w:r w:rsidR="00CD7E42">
        <w:t xml:space="preserve"> </w:t>
      </w:r>
      <w:r w:rsidR="00DD3896">
        <w:t xml:space="preserve">for the design life of the proposed development and that the design of the flood defence is such that it can be adapted if </w:t>
      </w:r>
      <w:r w:rsidR="00D848AE">
        <w:t xml:space="preserve">the design life is extended or a more rapid than predicted </w:t>
      </w:r>
      <w:r w:rsidR="00623FB8">
        <w:t>rate in future sea level rise occurs.</w:t>
      </w:r>
    </w:p>
    <w:p w14:paraId="6FB025EE" w14:textId="5B39859E" w:rsidR="00D833F9" w:rsidRDefault="00D833F9" w:rsidP="00077122">
      <w:pPr>
        <w:pStyle w:val="BBody1"/>
        <w:numPr>
          <w:ilvl w:val="0"/>
          <w:numId w:val="0"/>
        </w:numPr>
        <w:jc w:val="both"/>
      </w:pPr>
      <w:r>
        <w:lastRenderedPageBreak/>
        <w:t>In relation to the Council request for further information</w:t>
      </w:r>
      <w:r w:rsidR="002026DE">
        <w:t xml:space="preserve"> for a Site Suitability Assessment</w:t>
      </w:r>
      <w:r>
        <w:t xml:space="preserve"> in relation to domestic wastewater</w:t>
      </w:r>
      <w:r w:rsidR="002026DE">
        <w:t xml:space="preserve">, I am satisfied that </w:t>
      </w:r>
      <w:r w:rsidR="00A83EB4">
        <w:t xml:space="preserve">this </w:t>
      </w:r>
      <w:r>
        <w:t xml:space="preserve">is not </w:t>
      </w:r>
      <w:r w:rsidR="00A83EB4">
        <w:t xml:space="preserve">required for the </w:t>
      </w:r>
      <w:r>
        <w:t>proposed development, which proposes the installation of a replacement system that will connect to existing drainage infrastructure on site and discharge to the estuary via an existing outfall, under the IE licence from the EPA.</w:t>
      </w:r>
    </w:p>
    <w:p w14:paraId="65B343E8" w14:textId="5C6D7BFB" w:rsidR="00E11407" w:rsidRDefault="00E11407" w:rsidP="00E11407">
      <w:pPr>
        <w:pStyle w:val="Heading2"/>
      </w:pPr>
      <w:r w:rsidRPr="00BE2073">
        <w:t>Conclusion:  Direct and Indirect Effects (</w:t>
      </w:r>
      <w:r w:rsidR="00440824">
        <w:t>Water Environment</w:t>
      </w:r>
      <w:r w:rsidRPr="00BE2073">
        <w:t>)</w:t>
      </w:r>
    </w:p>
    <w:p w14:paraId="4A283945" w14:textId="399F8AA3" w:rsidR="00680AAF" w:rsidRDefault="00282AAB" w:rsidP="00773B94">
      <w:pPr>
        <w:pStyle w:val="BBody1"/>
        <w:numPr>
          <w:ilvl w:val="0"/>
          <w:numId w:val="0"/>
        </w:numPr>
        <w:jc w:val="both"/>
      </w:pPr>
      <w:r>
        <w:t xml:space="preserve">I have considered </w:t>
      </w:r>
      <w:r w:rsidRPr="00773B94">
        <w:t xml:space="preserve">the </w:t>
      </w:r>
      <w:r w:rsidR="00773B94">
        <w:t>submissions</w:t>
      </w:r>
      <w:r w:rsidRPr="00773B94">
        <w:t xml:space="preserve"> made in</w:t>
      </w:r>
      <w:r>
        <w:t xml:space="preserve"> relation to the water environment and am satisfied that they have been appropriately addressed in terms of the application and that no significant adverse effect</w:t>
      </w:r>
      <w:r w:rsidR="00006BBE">
        <w:t>s</w:t>
      </w:r>
      <w:r>
        <w:t xml:space="preserve"> </w:t>
      </w:r>
      <w:r w:rsidR="00006BBE">
        <w:t>are</w:t>
      </w:r>
      <w:r>
        <w:t xml:space="preserve"> likely to arise.</w:t>
      </w:r>
    </w:p>
    <w:p w14:paraId="53C7A407" w14:textId="0CFC67A0" w:rsidR="00D31355" w:rsidRDefault="00440824" w:rsidP="00D31355">
      <w:pPr>
        <w:pStyle w:val="EHead1"/>
      </w:pPr>
      <w:bookmarkStart w:id="52" w:name="_Toc171346792"/>
      <w:r>
        <w:t>Land and Soils</w:t>
      </w:r>
      <w:bookmarkEnd w:id="52"/>
    </w:p>
    <w:p w14:paraId="2CEC72F7" w14:textId="77777777" w:rsidR="00D31355" w:rsidRDefault="00D31355" w:rsidP="00D31355">
      <w:pPr>
        <w:pStyle w:val="Heading2"/>
      </w:pPr>
      <w:r>
        <w:t>Issues Raised</w:t>
      </w:r>
    </w:p>
    <w:p w14:paraId="06034015" w14:textId="6AEC1A81" w:rsidR="00D31355" w:rsidRPr="004F22F4" w:rsidRDefault="00834EC8" w:rsidP="00834EC8">
      <w:pPr>
        <w:pStyle w:val="BBody1"/>
        <w:numPr>
          <w:ilvl w:val="0"/>
          <w:numId w:val="0"/>
        </w:numPr>
      </w:pPr>
      <w:r>
        <w:t>No issues raised in relation to Land and Soils.</w:t>
      </w:r>
    </w:p>
    <w:p w14:paraId="45BE0AA5" w14:textId="77777777" w:rsidR="00D31355" w:rsidRDefault="00D31355" w:rsidP="00684225">
      <w:pPr>
        <w:pStyle w:val="Heading2"/>
      </w:pPr>
      <w:r w:rsidRPr="00302D10">
        <w:t>Context</w:t>
      </w:r>
    </w:p>
    <w:p w14:paraId="26AB2B71" w14:textId="6644B458" w:rsidR="00D31355" w:rsidRPr="004F22F4" w:rsidRDefault="002703F2" w:rsidP="00C67BB1">
      <w:pPr>
        <w:pStyle w:val="BBody1"/>
        <w:numPr>
          <w:ilvl w:val="0"/>
          <w:numId w:val="0"/>
        </w:numPr>
        <w:jc w:val="both"/>
      </w:pPr>
      <w:r>
        <w:t>EIAR Chapter 13 with associated Figures (1</w:t>
      </w:r>
      <w:r w:rsidR="002A55EA">
        <w:t>3</w:t>
      </w:r>
      <w:r>
        <w:t xml:space="preserve">.1 </w:t>
      </w:r>
      <w:r w:rsidR="002A55EA">
        <w:t>and</w:t>
      </w:r>
      <w:r>
        <w:t xml:space="preserve"> 1</w:t>
      </w:r>
      <w:r w:rsidR="002A55EA">
        <w:t>3</w:t>
      </w:r>
      <w:r>
        <w:t>.</w:t>
      </w:r>
      <w:r w:rsidR="002A55EA">
        <w:t>2</w:t>
      </w:r>
      <w:r>
        <w:t>) and Appendices (1</w:t>
      </w:r>
      <w:r w:rsidR="00785E54">
        <w:t>3</w:t>
      </w:r>
      <w:r>
        <w:t xml:space="preserve">A </w:t>
      </w:r>
      <w:r w:rsidR="00785E54">
        <w:t>–</w:t>
      </w:r>
      <w:r>
        <w:t xml:space="preserve"> 1</w:t>
      </w:r>
      <w:r w:rsidR="00785E54">
        <w:t>3C</w:t>
      </w:r>
      <w:r>
        <w:t xml:space="preserve">), has assessed the potential impacts </w:t>
      </w:r>
      <w:r w:rsidR="00FC72C7">
        <w:t>on the land, soil, and groundwater environments associated with the Proposed Development.</w:t>
      </w:r>
      <w:r>
        <w:t xml:space="preserve">  The EIAR describes the </w:t>
      </w:r>
      <w:r w:rsidR="00E23A8E">
        <w:t xml:space="preserve">legislation and policy, the </w:t>
      </w:r>
      <w:r>
        <w:t xml:space="preserve">methodology used, the baseline conditions, the mitigation measures proposed and any residual impacts.  </w:t>
      </w:r>
    </w:p>
    <w:p w14:paraId="0FAE5D2E" w14:textId="77777777" w:rsidR="00D31355" w:rsidRDefault="00D31355" w:rsidP="00684225">
      <w:pPr>
        <w:pStyle w:val="Heading2"/>
      </w:pPr>
      <w:r>
        <w:t>Baseline</w:t>
      </w:r>
    </w:p>
    <w:p w14:paraId="5310107F" w14:textId="53847CC6" w:rsidR="00162155" w:rsidRDefault="00A25761" w:rsidP="00A25761">
      <w:pPr>
        <w:pStyle w:val="BBody1"/>
        <w:numPr>
          <w:ilvl w:val="0"/>
          <w:numId w:val="0"/>
        </w:numPr>
        <w:jc w:val="both"/>
      </w:pPr>
      <w:r>
        <w:t>The Site comprises</w:t>
      </w:r>
      <w:r w:rsidR="00433CEF">
        <w:t xml:space="preserve"> of</w:t>
      </w:r>
      <w:r>
        <w:t xml:space="preserve"> brownfield land, with the western portion being the former contractors yard and containing two disused galvanised sheds (former Mechanical Workshop and former Riggers’ Store), a bunded concrete slab (Chemical Storage Compound) and a large vertical cylindrical tank in the north corner (Boiler Wash Effluent (BWE) tank) and the northern portion containing a variety of structures, including a vertical cylindrical </w:t>
      </w:r>
      <w:r w:rsidR="00433CEF">
        <w:t>d</w:t>
      </w:r>
      <w:r>
        <w:t xml:space="preserve">emineralised </w:t>
      </w:r>
      <w:r w:rsidR="00433CEF">
        <w:t>w</w:t>
      </w:r>
      <w:r>
        <w:t xml:space="preserve">ater tank, horizontal, cylindrical, bunded sulphuric acid tank, a caustic soda tank, the site Waste Water treatment system infrastructure (two caustic soda tanks and a disused ammonia tank within the water </w:t>
      </w:r>
      <w:r>
        <w:lastRenderedPageBreak/>
        <w:t xml:space="preserve">treatment building), a compressor house, a salt store and the </w:t>
      </w:r>
      <w:proofErr w:type="spellStart"/>
      <w:r>
        <w:t>C</w:t>
      </w:r>
      <w:r w:rsidR="00433CEF">
        <w:t>c</w:t>
      </w:r>
      <w:r>
        <w:t>arpenter’s</w:t>
      </w:r>
      <w:proofErr w:type="spellEnd"/>
      <w:r>
        <w:t xml:space="preserve"> workshop. The surface of the Site consists of sealed tarmacadam and concrete (approximately 30%, mainly in the northern portion) and unsealed hardcore gravel and grassed areas (approximately 70%, mainly in the western portion). </w:t>
      </w:r>
      <w:r w:rsidR="00A0331A">
        <w:t xml:space="preserve">A topographic survey was undertaken in 2023 for the Site, with contours produced for the Site of the Proposed Development.  </w:t>
      </w:r>
      <w:proofErr w:type="gramStart"/>
      <w:r w:rsidR="008E746C">
        <w:t>The majority of</w:t>
      </w:r>
      <w:proofErr w:type="gramEnd"/>
      <w:r w:rsidR="008E746C">
        <w:t xml:space="preserve"> the Site is generally flat and lies at an elevation of 3m to 5m above Ordnance Datum (AOD).</w:t>
      </w:r>
      <w:r w:rsidR="00DF1C42">
        <w:t xml:space="preserve">  GSI mapping indicates the entire island is underlain by Made Ground soil, with natural topsoil and subsoils in the surrounding area consisting of </w:t>
      </w:r>
      <w:proofErr w:type="gramStart"/>
      <w:r w:rsidR="00DF1C42">
        <w:t>Till</w:t>
      </w:r>
      <w:proofErr w:type="gramEnd"/>
      <w:r w:rsidR="00DF1C42">
        <w:t xml:space="preserve"> derived from sandstone and shale.</w:t>
      </w:r>
      <w:r w:rsidR="00EE7763">
        <w:t xml:space="preserve">  The GSI map indicates that bedrock geology underlying the site consists of the dark grey Shannon Group of undifferentiated mudstones, siltstones, and sandstones.</w:t>
      </w:r>
    </w:p>
    <w:p w14:paraId="1E7B33D2" w14:textId="43CB1251" w:rsidR="00BE5FDB" w:rsidRDefault="00BE5FDB" w:rsidP="00A25761">
      <w:pPr>
        <w:pStyle w:val="BBody1"/>
        <w:numPr>
          <w:ilvl w:val="0"/>
          <w:numId w:val="0"/>
        </w:numPr>
        <w:jc w:val="both"/>
      </w:pPr>
      <w:r>
        <w:t xml:space="preserve">The bedrock aquifer underlying the Site is classified by the GSI as a ‘Locally Important Aquifer (Li)’ where the bedrock is moderately productive only in local zones. At the HVO power plant area groundwater flow is to the north and west. The groundwater vulnerability beneath the Site is classified by GSI as ‘Moderate’ </w:t>
      </w:r>
      <w:r w:rsidR="0019389C">
        <w:t>(</w:t>
      </w:r>
      <w:r>
        <w:t>EIAR Volume III Figure 12.3.</w:t>
      </w:r>
      <w:r w:rsidR="0019389C">
        <w:t>)</w:t>
      </w:r>
      <w:r>
        <w:t xml:space="preserve"> The Site is not located in a groundwater source protection area. </w:t>
      </w:r>
      <w:r w:rsidR="00084ACB">
        <w:t xml:space="preserve">Site Investigations have been conducted </w:t>
      </w:r>
      <w:r w:rsidR="00E479A0">
        <w:t xml:space="preserve">at the SSE Tarbert Site </w:t>
      </w:r>
      <w:proofErr w:type="gramStart"/>
      <w:r w:rsidR="00E479A0">
        <w:t xml:space="preserve">as a whole </w:t>
      </w:r>
      <w:r w:rsidR="006F7250">
        <w:t>which</w:t>
      </w:r>
      <w:proofErr w:type="gramEnd"/>
      <w:r w:rsidR="006F7250">
        <w:t xml:space="preserve"> has informed the assessment</w:t>
      </w:r>
      <w:r w:rsidR="00694C07">
        <w:t>.</w:t>
      </w:r>
    </w:p>
    <w:p w14:paraId="463E4C86" w14:textId="77777777" w:rsidR="00D31355" w:rsidRDefault="00D31355" w:rsidP="00D31355">
      <w:pPr>
        <w:pStyle w:val="Heading2"/>
      </w:pPr>
      <w:r>
        <w:t>Potential Effects</w:t>
      </w:r>
    </w:p>
    <w:p w14:paraId="5F0A960E" w14:textId="3F6C21C1" w:rsidR="00D31355" w:rsidRPr="00EB28E7" w:rsidRDefault="00D31355" w:rsidP="00D31355">
      <w:pPr>
        <w:jc w:val="both"/>
        <w:rPr>
          <w:rFonts w:ascii="Arial" w:hAnsi="Arial" w:cs="Arial"/>
          <w:sz w:val="24"/>
          <w:szCs w:val="24"/>
        </w:rPr>
      </w:pPr>
      <w:r w:rsidRPr="00E10034">
        <w:rPr>
          <w:rFonts w:ascii="Arial" w:hAnsi="Arial" w:cs="Arial"/>
          <w:sz w:val="24"/>
          <w:szCs w:val="24"/>
        </w:rPr>
        <w:t xml:space="preserve">Likely significant effects of the development, as identified in the EIAR are summarised in Table </w:t>
      </w:r>
      <w:r>
        <w:rPr>
          <w:rFonts w:ascii="Arial" w:hAnsi="Arial" w:cs="Arial"/>
          <w:sz w:val="24"/>
          <w:szCs w:val="24"/>
        </w:rPr>
        <w:t>1</w:t>
      </w:r>
      <w:r w:rsidR="0054160B">
        <w:rPr>
          <w:rFonts w:ascii="Arial" w:hAnsi="Arial" w:cs="Arial"/>
          <w:sz w:val="24"/>
          <w:szCs w:val="24"/>
        </w:rPr>
        <w:t>4</w:t>
      </w:r>
      <w:r w:rsidRPr="00E10034">
        <w:rPr>
          <w:rFonts w:ascii="Arial" w:hAnsi="Arial" w:cs="Arial"/>
          <w:sz w:val="24"/>
          <w:szCs w:val="24"/>
        </w:rPr>
        <w:t>.1 below.</w:t>
      </w:r>
    </w:p>
    <w:tbl>
      <w:tblPr>
        <w:tblStyle w:val="TableGrid"/>
        <w:tblW w:w="0" w:type="auto"/>
        <w:tblLook w:val="04A0" w:firstRow="1" w:lastRow="0" w:firstColumn="1" w:lastColumn="0" w:noHBand="0" w:noVBand="1"/>
      </w:tblPr>
      <w:tblGrid>
        <w:gridCol w:w="9016"/>
      </w:tblGrid>
      <w:tr w:rsidR="00D31355" w:rsidRPr="00E10034" w14:paraId="05F63377" w14:textId="77777777" w:rsidTr="00673FA2">
        <w:tc>
          <w:tcPr>
            <w:tcW w:w="9016" w:type="dxa"/>
            <w:shd w:val="clear" w:color="auto" w:fill="BFBFBF" w:themeFill="background1" w:themeFillShade="BF"/>
          </w:tcPr>
          <w:p w14:paraId="342B8E13" w14:textId="1B09A82F" w:rsidR="00D31355" w:rsidRPr="004C27B1" w:rsidRDefault="00D31355" w:rsidP="00673FA2">
            <w:pPr>
              <w:tabs>
                <w:tab w:val="center" w:pos="4400"/>
              </w:tabs>
              <w:jc w:val="both"/>
              <w:rPr>
                <w:rFonts w:ascii="Arial" w:hAnsi="Arial" w:cs="Arial"/>
                <w:b/>
                <w:bCs/>
              </w:rPr>
            </w:pPr>
            <w:r w:rsidRPr="004C27B1">
              <w:rPr>
                <w:rFonts w:ascii="Arial" w:hAnsi="Arial" w:cs="Arial"/>
                <w:b/>
                <w:bCs/>
              </w:rPr>
              <w:t>Table 1</w:t>
            </w:r>
            <w:r w:rsidR="0054160B" w:rsidRPr="004C27B1">
              <w:rPr>
                <w:rFonts w:ascii="Arial" w:hAnsi="Arial" w:cs="Arial"/>
                <w:b/>
                <w:bCs/>
              </w:rPr>
              <w:t>4</w:t>
            </w:r>
            <w:r w:rsidRPr="004C27B1">
              <w:rPr>
                <w:rFonts w:ascii="Arial" w:hAnsi="Arial" w:cs="Arial"/>
                <w:b/>
                <w:bCs/>
              </w:rPr>
              <w:t>.1:  Summary of Potential Effects (</w:t>
            </w:r>
            <w:r w:rsidR="00440824" w:rsidRPr="004C27B1">
              <w:rPr>
                <w:rFonts w:ascii="Arial" w:hAnsi="Arial" w:cs="Arial"/>
                <w:b/>
                <w:bCs/>
              </w:rPr>
              <w:t>Land and Soils</w:t>
            </w:r>
            <w:r w:rsidRPr="004C27B1">
              <w:rPr>
                <w:rFonts w:ascii="Arial" w:hAnsi="Arial" w:cs="Arial"/>
                <w:b/>
                <w:bCs/>
              </w:rPr>
              <w:t>)</w:t>
            </w:r>
          </w:p>
        </w:tc>
      </w:tr>
      <w:tr w:rsidR="00D31355" w:rsidRPr="00E10034" w14:paraId="7D8C771A" w14:textId="77777777" w:rsidTr="00673FA2">
        <w:tc>
          <w:tcPr>
            <w:tcW w:w="9016" w:type="dxa"/>
            <w:shd w:val="clear" w:color="auto" w:fill="D9D9D9" w:themeFill="background1" w:themeFillShade="D9"/>
          </w:tcPr>
          <w:p w14:paraId="5121176C" w14:textId="77777777" w:rsidR="00D31355" w:rsidRPr="004C27B1" w:rsidRDefault="00D31355" w:rsidP="00673FA2">
            <w:pPr>
              <w:tabs>
                <w:tab w:val="center" w:pos="4400"/>
              </w:tabs>
              <w:jc w:val="both"/>
              <w:rPr>
                <w:rFonts w:ascii="Arial" w:hAnsi="Arial" w:cs="Arial"/>
              </w:rPr>
            </w:pPr>
            <w:r w:rsidRPr="004C27B1">
              <w:rPr>
                <w:rFonts w:ascii="Arial" w:hAnsi="Arial" w:cs="Arial"/>
                <w:b/>
                <w:bCs/>
              </w:rPr>
              <w:t>Do Nothing</w:t>
            </w:r>
            <w:r w:rsidRPr="004C27B1">
              <w:rPr>
                <w:rFonts w:ascii="Arial" w:hAnsi="Arial" w:cs="Arial"/>
                <w:b/>
                <w:bCs/>
              </w:rPr>
              <w:tab/>
            </w:r>
          </w:p>
        </w:tc>
      </w:tr>
      <w:tr w:rsidR="00D31355" w:rsidRPr="00E10034" w14:paraId="01FB3706" w14:textId="77777777" w:rsidTr="00673FA2">
        <w:tc>
          <w:tcPr>
            <w:tcW w:w="9016" w:type="dxa"/>
          </w:tcPr>
          <w:p w14:paraId="10C21DBB" w14:textId="29F8CF51" w:rsidR="00D31355" w:rsidRPr="004C27B1" w:rsidRDefault="008E0ACA" w:rsidP="00C6208E">
            <w:pPr>
              <w:pStyle w:val="ListParagraph"/>
              <w:numPr>
                <w:ilvl w:val="0"/>
                <w:numId w:val="41"/>
              </w:numPr>
              <w:spacing w:after="0" w:line="240" w:lineRule="auto"/>
              <w:jc w:val="both"/>
              <w:rPr>
                <w:sz w:val="22"/>
                <w:szCs w:val="22"/>
              </w:rPr>
            </w:pPr>
            <w:r w:rsidRPr="004C27B1">
              <w:rPr>
                <w:sz w:val="22"/>
                <w:szCs w:val="22"/>
              </w:rPr>
              <w:t xml:space="preserve">The land remains in its current use and no likely significant implications arise in respect of soil, geology, or hydrogeology. </w:t>
            </w:r>
          </w:p>
        </w:tc>
      </w:tr>
      <w:tr w:rsidR="00D31355" w:rsidRPr="00E10034" w14:paraId="03AB56F1" w14:textId="77777777" w:rsidTr="00673FA2">
        <w:tc>
          <w:tcPr>
            <w:tcW w:w="9016" w:type="dxa"/>
            <w:shd w:val="clear" w:color="auto" w:fill="D9D9D9" w:themeFill="background1" w:themeFillShade="D9"/>
          </w:tcPr>
          <w:p w14:paraId="1D7A9B7A" w14:textId="77777777" w:rsidR="00D31355" w:rsidRPr="004C27B1" w:rsidRDefault="00D31355" w:rsidP="00673FA2">
            <w:pPr>
              <w:jc w:val="both"/>
              <w:rPr>
                <w:rFonts w:ascii="Arial" w:hAnsi="Arial" w:cs="Arial"/>
              </w:rPr>
            </w:pPr>
            <w:r w:rsidRPr="004C27B1">
              <w:rPr>
                <w:rFonts w:ascii="Arial" w:hAnsi="Arial" w:cs="Arial"/>
                <w:b/>
                <w:bCs/>
              </w:rPr>
              <w:t>Construction</w:t>
            </w:r>
          </w:p>
        </w:tc>
      </w:tr>
      <w:tr w:rsidR="00D31355" w:rsidRPr="00E10034" w14:paraId="43C05DA1" w14:textId="77777777" w:rsidTr="00673FA2">
        <w:tc>
          <w:tcPr>
            <w:tcW w:w="9016" w:type="dxa"/>
          </w:tcPr>
          <w:p w14:paraId="5F3307D5" w14:textId="107AF16B" w:rsidR="00D31355" w:rsidRPr="004C27B1" w:rsidRDefault="008C0D64" w:rsidP="00C6208E">
            <w:pPr>
              <w:pStyle w:val="ListParagraph"/>
              <w:numPr>
                <w:ilvl w:val="0"/>
                <w:numId w:val="41"/>
              </w:numPr>
              <w:spacing w:after="0" w:line="240" w:lineRule="auto"/>
              <w:jc w:val="both"/>
              <w:rPr>
                <w:sz w:val="22"/>
                <w:szCs w:val="22"/>
              </w:rPr>
            </w:pPr>
            <w:r w:rsidRPr="004C27B1">
              <w:rPr>
                <w:sz w:val="22"/>
                <w:szCs w:val="22"/>
              </w:rPr>
              <w:t>Potential impacts identified from the construction phase included impacts to soil and groundwater quality from accidental spills and leaks, use of concrete and lime, and excavation and infilling, and the use of natural resources.</w:t>
            </w:r>
          </w:p>
        </w:tc>
      </w:tr>
      <w:tr w:rsidR="00D31355" w:rsidRPr="00E10034" w14:paraId="1010EB46" w14:textId="77777777" w:rsidTr="00673FA2">
        <w:tc>
          <w:tcPr>
            <w:tcW w:w="9016" w:type="dxa"/>
            <w:shd w:val="clear" w:color="auto" w:fill="D9D9D9" w:themeFill="background1" w:themeFillShade="D9"/>
          </w:tcPr>
          <w:p w14:paraId="45D4CEDE" w14:textId="77777777" w:rsidR="00D31355" w:rsidRPr="004C27B1" w:rsidRDefault="00D31355" w:rsidP="00673FA2">
            <w:pPr>
              <w:jc w:val="both"/>
              <w:rPr>
                <w:rFonts w:ascii="Arial" w:hAnsi="Arial" w:cs="Arial"/>
              </w:rPr>
            </w:pPr>
            <w:r w:rsidRPr="004C27B1">
              <w:rPr>
                <w:rFonts w:ascii="Arial" w:hAnsi="Arial" w:cs="Arial"/>
                <w:b/>
                <w:bCs/>
              </w:rPr>
              <w:t>Operational Impacts</w:t>
            </w:r>
          </w:p>
        </w:tc>
      </w:tr>
      <w:tr w:rsidR="00D31355" w:rsidRPr="00E10034" w14:paraId="2EE02141" w14:textId="77777777" w:rsidTr="00673FA2">
        <w:tc>
          <w:tcPr>
            <w:tcW w:w="9016" w:type="dxa"/>
          </w:tcPr>
          <w:p w14:paraId="5612EB77" w14:textId="03511DAE" w:rsidR="00D31355" w:rsidRPr="004C27B1" w:rsidRDefault="0002290A" w:rsidP="00C6208E">
            <w:pPr>
              <w:pStyle w:val="ListParagraph"/>
              <w:numPr>
                <w:ilvl w:val="0"/>
                <w:numId w:val="42"/>
              </w:numPr>
              <w:spacing w:after="0" w:line="240" w:lineRule="auto"/>
              <w:jc w:val="both"/>
              <w:rPr>
                <w:sz w:val="22"/>
                <w:szCs w:val="22"/>
              </w:rPr>
            </w:pPr>
            <w:r w:rsidRPr="004C27B1">
              <w:rPr>
                <w:sz w:val="22"/>
                <w:szCs w:val="22"/>
              </w:rPr>
              <w:t>During the operational phase, a potential slight effect has been identified with respect to the soil and groundwater associated with accidental spills and leaks.</w:t>
            </w:r>
          </w:p>
        </w:tc>
      </w:tr>
      <w:tr w:rsidR="00D31355" w:rsidRPr="00E10034" w14:paraId="2DFAC705" w14:textId="77777777" w:rsidTr="00673FA2">
        <w:tc>
          <w:tcPr>
            <w:tcW w:w="9016" w:type="dxa"/>
            <w:shd w:val="clear" w:color="auto" w:fill="D9D9D9" w:themeFill="background1" w:themeFillShade="D9"/>
          </w:tcPr>
          <w:p w14:paraId="6768791A" w14:textId="77777777" w:rsidR="00D31355" w:rsidRPr="004C27B1" w:rsidRDefault="00D31355" w:rsidP="00673FA2">
            <w:pPr>
              <w:jc w:val="both"/>
              <w:rPr>
                <w:rFonts w:ascii="Arial" w:hAnsi="Arial" w:cs="Arial"/>
              </w:rPr>
            </w:pPr>
            <w:r w:rsidRPr="004C27B1">
              <w:rPr>
                <w:rFonts w:ascii="Arial" w:hAnsi="Arial" w:cs="Arial"/>
                <w:b/>
                <w:bCs/>
              </w:rPr>
              <w:t>Decommissioning</w:t>
            </w:r>
          </w:p>
        </w:tc>
      </w:tr>
      <w:tr w:rsidR="00D31355" w:rsidRPr="00E10034" w14:paraId="270067DC" w14:textId="77777777" w:rsidTr="00673FA2">
        <w:tc>
          <w:tcPr>
            <w:tcW w:w="9016" w:type="dxa"/>
          </w:tcPr>
          <w:p w14:paraId="08B1C5DD" w14:textId="5890EF39" w:rsidR="00D31355" w:rsidRPr="004C27B1" w:rsidRDefault="00CA4224" w:rsidP="00C6208E">
            <w:pPr>
              <w:pStyle w:val="ListParagraph"/>
              <w:numPr>
                <w:ilvl w:val="0"/>
                <w:numId w:val="41"/>
              </w:numPr>
              <w:spacing w:after="0" w:line="240" w:lineRule="auto"/>
              <w:jc w:val="both"/>
              <w:rPr>
                <w:sz w:val="22"/>
                <w:szCs w:val="22"/>
              </w:rPr>
            </w:pPr>
            <w:r>
              <w:rPr>
                <w:sz w:val="22"/>
                <w:szCs w:val="22"/>
              </w:rPr>
              <w:t xml:space="preserve">Considered to be a </w:t>
            </w:r>
            <w:r w:rsidR="000047E1" w:rsidRPr="004C27B1">
              <w:rPr>
                <w:sz w:val="22"/>
                <w:szCs w:val="22"/>
              </w:rPr>
              <w:t>similar nature and duration to those arising from the construction phase and have therefore not been considered separately.</w:t>
            </w:r>
          </w:p>
        </w:tc>
      </w:tr>
      <w:tr w:rsidR="00D31355" w:rsidRPr="00E10034" w14:paraId="073D2F8C" w14:textId="77777777" w:rsidTr="00673FA2">
        <w:tc>
          <w:tcPr>
            <w:tcW w:w="9016" w:type="dxa"/>
            <w:shd w:val="clear" w:color="auto" w:fill="D9D9D9" w:themeFill="background1" w:themeFillShade="D9"/>
          </w:tcPr>
          <w:p w14:paraId="559D1BB7" w14:textId="77777777" w:rsidR="00D31355" w:rsidRPr="004C27B1" w:rsidRDefault="00D31355" w:rsidP="00673FA2">
            <w:pPr>
              <w:jc w:val="both"/>
              <w:rPr>
                <w:rFonts w:ascii="Arial" w:hAnsi="Arial" w:cs="Arial"/>
              </w:rPr>
            </w:pPr>
            <w:r w:rsidRPr="004C27B1">
              <w:rPr>
                <w:rFonts w:ascii="Arial" w:hAnsi="Arial" w:cs="Arial"/>
                <w:b/>
                <w:bCs/>
              </w:rPr>
              <w:t>Cumulative Impacts</w:t>
            </w:r>
          </w:p>
        </w:tc>
      </w:tr>
      <w:tr w:rsidR="00D31355" w:rsidRPr="00E10034" w14:paraId="63FA99FD" w14:textId="77777777" w:rsidTr="00673FA2">
        <w:tc>
          <w:tcPr>
            <w:tcW w:w="9016" w:type="dxa"/>
          </w:tcPr>
          <w:p w14:paraId="5155CF32" w14:textId="773CCFCB" w:rsidR="00D31355" w:rsidRPr="004C27B1" w:rsidRDefault="00513414" w:rsidP="00C6208E">
            <w:pPr>
              <w:pStyle w:val="ListParagraph"/>
              <w:numPr>
                <w:ilvl w:val="0"/>
                <w:numId w:val="43"/>
              </w:numPr>
              <w:spacing w:after="0" w:line="240" w:lineRule="auto"/>
              <w:jc w:val="both"/>
              <w:rPr>
                <w:sz w:val="22"/>
                <w:szCs w:val="22"/>
              </w:rPr>
            </w:pPr>
            <w:r w:rsidRPr="004C27B1">
              <w:rPr>
                <w:sz w:val="22"/>
                <w:szCs w:val="22"/>
              </w:rPr>
              <w:t xml:space="preserve">As reported in Section 13.8.1 of the EIAR, potential emissions to soil and groundwater associated with the Proposed Development will be mitigated to the </w:t>
            </w:r>
            <w:r w:rsidRPr="004C27B1">
              <w:rPr>
                <w:sz w:val="22"/>
                <w:szCs w:val="22"/>
              </w:rPr>
              <w:lastRenderedPageBreak/>
              <w:t xml:space="preserve">extent that the impact will not be significant. </w:t>
            </w:r>
            <w:r w:rsidR="005C433F">
              <w:rPr>
                <w:sz w:val="22"/>
                <w:szCs w:val="22"/>
              </w:rPr>
              <w:t>Cumulative Impacts</w:t>
            </w:r>
            <w:r w:rsidRPr="004C27B1">
              <w:rPr>
                <w:sz w:val="22"/>
                <w:szCs w:val="22"/>
              </w:rPr>
              <w:t xml:space="preserve"> </w:t>
            </w:r>
            <w:r w:rsidR="005C433F">
              <w:rPr>
                <w:sz w:val="22"/>
                <w:szCs w:val="22"/>
              </w:rPr>
              <w:t>not considere</w:t>
            </w:r>
            <w:r w:rsidR="002A6BA5">
              <w:rPr>
                <w:sz w:val="22"/>
                <w:szCs w:val="22"/>
              </w:rPr>
              <w:t xml:space="preserve">d to </w:t>
            </w:r>
            <w:r w:rsidRPr="004C27B1">
              <w:rPr>
                <w:sz w:val="22"/>
                <w:szCs w:val="22"/>
              </w:rPr>
              <w:t>be significant.</w:t>
            </w:r>
          </w:p>
        </w:tc>
      </w:tr>
    </w:tbl>
    <w:p w14:paraId="2FED27CB" w14:textId="77777777" w:rsidR="00D31355" w:rsidRDefault="00D31355" w:rsidP="00D31355">
      <w:pPr>
        <w:pStyle w:val="Heading2"/>
      </w:pPr>
      <w:r>
        <w:lastRenderedPageBreak/>
        <w:t>Mitigation</w:t>
      </w:r>
    </w:p>
    <w:p w14:paraId="0B451E9F" w14:textId="466AC68B" w:rsidR="00062BEB" w:rsidRDefault="00062BEB" w:rsidP="00637F72">
      <w:pPr>
        <w:pStyle w:val="BBody1"/>
        <w:numPr>
          <w:ilvl w:val="0"/>
          <w:numId w:val="0"/>
        </w:numPr>
        <w:jc w:val="both"/>
      </w:pPr>
      <w:r>
        <w:t xml:space="preserve">Mitigation measures associated with both the construction and operational phases of the Proposed Development have been embedded within the design. </w:t>
      </w:r>
      <w:proofErr w:type="gramStart"/>
      <w:r>
        <w:t>A number of</w:t>
      </w:r>
      <w:proofErr w:type="gramEnd"/>
      <w:r>
        <w:t xml:space="preserve"> mitigation measures designed to avoid, reduce, or offset any potential adverse geological impacts identified will be implemented under the following categories: </w:t>
      </w:r>
    </w:p>
    <w:p w14:paraId="76C6FF49" w14:textId="77777777" w:rsidR="00F54447" w:rsidRDefault="00062BEB" w:rsidP="00C6208E">
      <w:pPr>
        <w:pStyle w:val="BBody1"/>
        <w:numPr>
          <w:ilvl w:val="0"/>
          <w:numId w:val="43"/>
        </w:numPr>
        <w:jc w:val="both"/>
      </w:pPr>
      <w:r>
        <w:t xml:space="preserve">Fuel and chemical handling, transport and </w:t>
      </w:r>
      <w:proofErr w:type="gramStart"/>
      <w:r>
        <w:t>storage;</w:t>
      </w:r>
      <w:proofErr w:type="gramEnd"/>
    </w:p>
    <w:p w14:paraId="6F15A547" w14:textId="1F71077A" w:rsidR="00F54447" w:rsidRDefault="00F54447" w:rsidP="00C6208E">
      <w:pPr>
        <w:pStyle w:val="BBody1"/>
        <w:numPr>
          <w:ilvl w:val="0"/>
          <w:numId w:val="43"/>
        </w:numPr>
        <w:jc w:val="both"/>
      </w:pPr>
      <w:r>
        <w:t xml:space="preserve">Control of soil excavation and fill placement work. </w:t>
      </w:r>
    </w:p>
    <w:p w14:paraId="410BF505" w14:textId="40BCC3FA" w:rsidR="00F54447" w:rsidRDefault="00F54447" w:rsidP="00C6208E">
      <w:pPr>
        <w:pStyle w:val="BBody1"/>
        <w:numPr>
          <w:ilvl w:val="0"/>
          <w:numId w:val="43"/>
        </w:numPr>
        <w:jc w:val="both"/>
      </w:pPr>
      <w:r>
        <w:t xml:space="preserve">Sources of fill and aggregates; and Control of concrete and lime. </w:t>
      </w:r>
    </w:p>
    <w:p w14:paraId="381C632C" w14:textId="7596EB28" w:rsidR="00D31355" w:rsidRPr="00680AAF" w:rsidRDefault="00430D27" w:rsidP="00C53C14">
      <w:pPr>
        <w:pStyle w:val="BBody1"/>
        <w:numPr>
          <w:ilvl w:val="0"/>
          <w:numId w:val="0"/>
        </w:numPr>
        <w:jc w:val="both"/>
      </w:pPr>
      <w:r>
        <w:t>The</w:t>
      </w:r>
      <w:r w:rsidR="00F54447">
        <w:t xml:space="preserve"> </w:t>
      </w:r>
      <w:r>
        <w:t>CEMP</w:t>
      </w:r>
      <w:r w:rsidR="00F54447">
        <w:t xml:space="preserve"> includes </w:t>
      </w:r>
      <w:proofErr w:type="gramStart"/>
      <w:r w:rsidR="00F54447">
        <w:t>a number of</w:t>
      </w:r>
      <w:proofErr w:type="gramEnd"/>
      <w:r w:rsidR="00F54447">
        <w:t xml:space="preserve"> mitigation measures with regards to land and soils. The CEMP (EIAR - Appendix 5A) will be updated by the Contractor for the Proposed Development to reduce potential environmental impact. Taking account of mitigation measures proposed the potential impact </w:t>
      </w:r>
      <w:proofErr w:type="gramStart"/>
      <w:r w:rsidR="00F54447">
        <w:t>is considered to be</w:t>
      </w:r>
      <w:proofErr w:type="gramEnd"/>
      <w:r w:rsidR="00F54447">
        <w:t xml:space="preserve"> a negligible impact to a medium sensitivity environment and the significance of the effects has been assessed as imperceptible. </w:t>
      </w:r>
    </w:p>
    <w:p w14:paraId="34157350" w14:textId="77777777" w:rsidR="00D31355" w:rsidRDefault="00D31355" w:rsidP="00637F72">
      <w:pPr>
        <w:pStyle w:val="Heading2"/>
      </w:pPr>
      <w:r>
        <w:t>Residual Effects</w:t>
      </w:r>
    </w:p>
    <w:p w14:paraId="35F5A638" w14:textId="4B86D75E" w:rsidR="00D31355" w:rsidRPr="00680AAF" w:rsidRDefault="00ED4B3B" w:rsidP="00C34A1E">
      <w:pPr>
        <w:pStyle w:val="BBody1"/>
        <w:numPr>
          <w:ilvl w:val="0"/>
          <w:numId w:val="0"/>
        </w:numPr>
        <w:jc w:val="both"/>
      </w:pPr>
      <w:r>
        <w:t xml:space="preserve">For </w:t>
      </w:r>
      <w:r w:rsidR="007D7194">
        <w:t>all</w:t>
      </w:r>
      <w:r>
        <w:t xml:space="preserve"> </w:t>
      </w:r>
      <w:r w:rsidR="007D7194">
        <w:t>p</w:t>
      </w:r>
      <w:r>
        <w:t>hases, f</w:t>
      </w:r>
      <w:r w:rsidR="0059466E">
        <w:t xml:space="preserve">ollowing </w:t>
      </w:r>
      <w:r w:rsidR="000D4C31">
        <w:t xml:space="preserve">implementation of mitigation measures outlined in Section 13.7.1 </w:t>
      </w:r>
      <w:r w:rsidR="00695AED">
        <w:t xml:space="preserve">and 13.7.2 </w:t>
      </w:r>
      <w:r w:rsidR="000D4C31">
        <w:t>of the EIAR</w:t>
      </w:r>
      <w:r w:rsidR="00695AED">
        <w:t xml:space="preserve">, no </w:t>
      </w:r>
      <w:r w:rsidR="00C34A1E">
        <w:t xml:space="preserve">significant adverse effects are likely to arise. </w:t>
      </w:r>
      <w:r w:rsidR="00695AED">
        <w:t xml:space="preserve"> </w:t>
      </w:r>
    </w:p>
    <w:p w14:paraId="2BF68A3C" w14:textId="77777777" w:rsidR="00D31355" w:rsidRPr="006C4958" w:rsidRDefault="00D31355" w:rsidP="00D31355">
      <w:pPr>
        <w:pStyle w:val="Heading2"/>
      </w:pPr>
      <w:r w:rsidRPr="006C4958">
        <w:t>The Assessment:  Direct and Indirect Effects</w:t>
      </w:r>
    </w:p>
    <w:p w14:paraId="390C8BAD" w14:textId="45EBA0CC" w:rsidR="00355EDA" w:rsidRDefault="004D68EF" w:rsidP="00D31355">
      <w:pPr>
        <w:pStyle w:val="BBody1"/>
        <w:numPr>
          <w:ilvl w:val="0"/>
          <w:numId w:val="0"/>
        </w:numPr>
        <w:jc w:val="both"/>
      </w:pPr>
      <w:r>
        <w:t xml:space="preserve">During the construction phase, potential impacts </w:t>
      </w:r>
      <w:r w:rsidR="002F1BA7">
        <w:t xml:space="preserve">to soil and groundwater quality </w:t>
      </w:r>
      <w:r w:rsidR="008A0896">
        <w:t>could occur from accidental spillages and leakages, use of concrete and lime</w:t>
      </w:r>
      <w:r w:rsidR="005D00A9">
        <w:t>, excavation and infilling and use of natural resources</w:t>
      </w:r>
      <w:r w:rsidR="000B137D">
        <w:t xml:space="preserve">.  Potential operational phase, </w:t>
      </w:r>
      <w:r w:rsidR="00A044B5">
        <w:t>potential spills and leaks from fuel storage was identified.</w:t>
      </w:r>
      <w:r w:rsidR="00E20957">
        <w:t xml:space="preserve">  </w:t>
      </w:r>
      <w:r w:rsidR="00AE0B81">
        <w:t>The final CEMP will include mitigation measures</w:t>
      </w:r>
      <w:r w:rsidR="005A586F">
        <w:t>,</w:t>
      </w:r>
      <w:r w:rsidR="00AE0B81">
        <w:t xml:space="preserve"> which will </w:t>
      </w:r>
      <w:r w:rsidR="007B3F04">
        <w:t>protect soils and groundwater from contamination.</w:t>
      </w:r>
      <w:r w:rsidR="00CD33B6">
        <w:t xml:space="preserve"> </w:t>
      </w:r>
    </w:p>
    <w:p w14:paraId="2C21FC1C" w14:textId="63126E82" w:rsidR="00D31355" w:rsidRPr="0043127D" w:rsidRDefault="00355EDA" w:rsidP="00D31355">
      <w:pPr>
        <w:pStyle w:val="BBody1"/>
        <w:numPr>
          <w:ilvl w:val="0"/>
          <w:numId w:val="0"/>
        </w:numPr>
        <w:jc w:val="both"/>
      </w:pPr>
      <w:r>
        <w:t xml:space="preserve">For the </w:t>
      </w:r>
      <w:r w:rsidRPr="00581D9B">
        <w:t>Operational Phase,</w:t>
      </w:r>
      <w:r>
        <w:t xml:space="preserve"> the proposed development will follow the standards set out in the IE Directive (IED) under its IE Licence.  Potential impacts relate to accidental spills and leakages to soil from fuel storage areas, which would be managed by EIAR </w:t>
      </w:r>
      <w:r>
        <w:lastRenderedPageBreak/>
        <w:t xml:space="preserve">mitigation measures.  I am satisfied that this will limit and minimise any significant impacts relating to soil, </w:t>
      </w:r>
      <w:proofErr w:type="gramStart"/>
      <w:r>
        <w:t>surface</w:t>
      </w:r>
      <w:proofErr w:type="gramEnd"/>
      <w:r>
        <w:t xml:space="preserve"> and groundwater</w:t>
      </w:r>
      <w:r w:rsidR="00570D37">
        <w:t xml:space="preserve"> contamination</w:t>
      </w:r>
      <w:r>
        <w:t xml:space="preserve">.  </w:t>
      </w:r>
      <w:r w:rsidR="002164BE">
        <w:t xml:space="preserve">Any </w:t>
      </w:r>
      <w:r>
        <w:t xml:space="preserve">adverse impacts at </w:t>
      </w:r>
      <w:r w:rsidRPr="00581D9B">
        <w:t>decommissioning phase</w:t>
      </w:r>
      <w:r>
        <w:t xml:space="preserve"> will be mitigated, if carried out in accordance with the IE Licence Decommissioning Plan which will be agreed with the EPA.</w:t>
      </w:r>
      <w:r w:rsidR="000E4587">
        <w:t xml:space="preserve">  </w:t>
      </w:r>
      <w:r w:rsidR="005E0D82">
        <w:t>With the implementation of Mitigation Measures outlined in the EIAR, I</w:t>
      </w:r>
      <w:r w:rsidR="00CD33B6">
        <w:t xml:space="preserve"> consider that </w:t>
      </w:r>
      <w:r w:rsidR="00542E88">
        <w:t xml:space="preserve">the proposed development </w:t>
      </w:r>
      <w:r w:rsidR="005E0D82">
        <w:t xml:space="preserve">is not predicted to give rise to </w:t>
      </w:r>
      <w:r w:rsidR="00924A8C">
        <w:t>significant adverse impacts to Land and Soils at any phase of the development.</w:t>
      </w:r>
    </w:p>
    <w:p w14:paraId="2ED18F9F" w14:textId="07285388" w:rsidR="00D31355" w:rsidRDefault="00D31355" w:rsidP="00D31355">
      <w:pPr>
        <w:pStyle w:val="Heading2"/>
      </w:pPr>
      <w:r w:rsidRPr="00BE2073">
        <w:t>Conclusion:  Direct and Indirect Effects (</w:t>
      </w:r>
      <w:r w:rsidR="00440824">
        <w:t>Land and Soils</w:t>
      </w:r>
      <w:r w:rsidRPr="00BE2073">
        <w:t>)</w:t>
      </w:r>
    </w:p>
    <w:p w14:paraId="79B719D9" w14:textId="6F13BA26" w:rsidR="00440824" w:rsidRDefault="00B7120F" w:rsidP="00A01362">
      <w:pPr>
        <w:pStyle w:val="BBody1"/>
        <w:numPr>
          <w:ilvl w:val="0"/>
          <w:numId w:val="0"/>
        </w:numPr>
        <w:jc w:val="both"/>
      </w:pPr>
      <w:r>
        <w:t xml:space="preserve">I consider the applicants assessment has </w:t>
      </w:r>
      <w:r w:rsidR="00783042">
        <w:t xml:space="preserve">identified the relevant issues </w:t>
      </w:r>
      <w:r w:rsidR="00AE1804">
        <w:t xml:space="preserve">in relation to Land and Soils </w:t>
      </w:r>
      <w:r w:rsidR="00783042">
        <w:t>and that no significant adverse effects are likely to arise</w:t>
      </w:r>
      <w:r w:rsidR="00AE1804">
        <w:t>.</w:t>
      </w:r>
    </w:p>
    <w:p w14:paraId="2C83663E" w14:textId="7146994A" w:rsidR="00440824" w:rsidRDefault="009B1FE0" w:rsidP="00440824">
      <w:pPr>
        <w:pStyle w:val="EHead1"/>
      </w:pPr>
      <w:bookmarkStart w:id="53" w:name="_Toc171346793"/>
      <w:r>
        <w:t>Traffic and Transport</w:t>
      </w:r>
      <w:bookmarkEnd w:id="53"/>
    </w:p>
    <w:p w14:paraId="47F61238" w14:textId="77777777" w:rsidR="00440824" w:rsidRDefault="00440824" w:rsidP="00440824">
      <w:pPr>
        <w:pStyle w:val="Heading2"/>
      </w:pPr>
      <w:r>
        <w:t>Issues Raised</w:t>
      </w:r>
    </w:p>
    <w:p w14:paraId="0C3A28EE" w14:textId="77777777" w:rsidR="009749ED" w:rsidRDefault="00720855" w:rsidP="003A295C">
      <w:pPr>
        <w:pStyle w:val="BBody1"/>
        <w:numPr>
          <w:ilvl w:val="0"/>
          <w:numId w:val="0"/>
        </w:numPr>
        <w:jc w:val="both"/>
      </w:pPr>
      <w:r>
        <w:t>KCC</w:t>
      </w:r>
      <w:r w:rsidR="00BD0B73">
        <w:t xml:space="preserve"> notes that the site is easily accessible</w:t>
      </w:r>
      <w:r w:rsidR="00D7257F">
        <w:t xml:space="preserve"> by the N67 and by internal access roads throughout the site.  The Listowel Municipal Roads Office has provided a report recommending planning conditions </w:t>
      </w:r>
      <w:r w:rsidR="003A295C">
        <w:t>to be attached to any grant of permission.</w:t>
      </w:r>
      <w:r w:rsidR="00843109">
        <w:t xml:space="preserve">  TII </w:t>
      </w:r>
      <w:r w:rsidR="00492350">
        <w:t xml:space="preserve">considers a full assessment of all structures on the national road network along the haul route </w:t>
      </w:r>
      <w:r w:rsidR="00322E14">
        <w:t>to confirm</w:t>
      </w:r>
      <w:r w:rsidR="00F95D68">
        <w:t xml:space="preserve"> acceptance by the relevant road authorities </w:t>
      </w:r>
      <w:r w:rsidR="00130BC7">
        <w:t>where the weight of the delivery vehicle and load exceeds that permissible under the Road Traffic Regulations.</w:t>
      </w:r>
      <w:r w:rsidR="007566CA">
        <w:t xml:space="preserve">  </w:t>
      </w:r>
      <w:r w:rsidR="00B629E4">
        <w:t xml:space="preserve">TII further advises that any damage caused to the pavement of the existing national road due to the turning movement of abnormal loads shall be rectified in accordance with TII Pavement Standards.  </w:t>
      </w:r>
    </w:p>
    <w:p w14:paraId="08E4CF55" w14:textId="15FDEE3F" w:rsidR="009749ED" w:rsidRDefault="009749ED" w:rsidP="003A295C">
      <w:pPr>
        <w:pStyle w:val="BBody1"/>
        <w:numPr>
          <w:ilvl w:val="0"/>
          <w:numId w:val="0"/>
        </w:numPr>
        <w:jc w:val="both"/>
      </w:pPr>
      <w:r>
        <w:t xml:space="preserve">TII have requested that mitigation measures identified </w:t>
      </w:r>
      <w:r w:rsidR="008D3DAD">
        <w:t>should be included as conditions in any decision.  The applicant will be required to demonstrate that any proposed works (including temporary and sign</w:t>
      </w:r>
      <w:r w:rsidR="004651CC">
        <w:t>age) to the national road network to facilitate component delivery to the site shall comply with TII publications and shall be subject to a road safety audit as appropriate.</w:t>
      </w:r>
    </w:p>
    <w:p w14:paraId="4625C2F0" w14:textId="46B26104" w:rsidR="00440824" w:rsidRDefault="007566CA" w:rsidP="003A295C">
      <w:pPr>
        <w:pStyle w:val="BBody1"/>
        <w:numPr>
          <w:ilvl w:val="0"/>
          <w:numId w:val="0"/>
        </w:numPr>
        <w:jc w:val="both"/>
      </w:pPr>
      <w:r>
        <w:t>The applicant has responded by producing an Abnormal Load Report</w:t>
      </w:r>
      <w:r w:rsidR="00594942">
        <w:t xml:space="preserve">, which confirms that the transportation </w:t>
      </w:r>
      <w:r w:rsidR="00F643AB">
        <w:t>of abnormal loads required for the proposed development is achievable using the existing road network from</w:t>
      </w:r>
      <w:r w:rsidR="00AA71EF">
        <w:t xml:space="preserve"> either</w:t>
      </w:r>
      <w:r w:rsidR="00F643AB">
        <w:t xml:space="preserve"> </w:t>
      </w:r>
      <w:proofErr w:type="spellStart"/>
      <w:r w:rsidR="00F643AB">
        <w:t>Foynes</w:t>
      </w:r>
      <w:proofErr w:type="spellEnd"/>
      <w:r w:rsidR="00F643AB">
        <w:t xml:space="preserve"> or Dublin Port.  </w:t>
      </w:r>
      <w:r w:rsidR="00B13937">
        <w:t xml:space="preserve">The </w:t>
      </w:r>
      <w:r w:rsidR="003C4C56">
        <w:lastRenderedPageBreak/>
        <w:t>deliveries will be carried out in accordance with the Abnormal Loads Report and in consultation with the PP</w:t>
      </w:r>
      <w:r w:rsidR="00BB619B">
        <w:t xml:space="preserve">P companies, </w:t>
      </w:r>
      <w:proofErr w:type="spellStart"/>
      <w:r w:rsidR="00BB619B">
        <w:t>MMaRC</w:t>
      </w:r>
      <w:proofErr w:type="spellEnd"/>
      <w:r w:rsidR="00BB619B">
        <w:t xml:space="preserve"> Contractors and relevant road authorities.  This process will be carried out in accordance with an updated Construction Traffic Management Plan</w:t>
      </w:r>
      <w:r w:rsidR="00932DF1">
        <w:t xml:space="preserve"> (CTMP) and CEMP.  It is acknowled</w:t>
      </w:r>
      <w:r w:rsidR="00B629E4">
        <w:t xml:space="preserve">ged </w:t>
      </w:r>
      <w:r w:rsidR="00DB249B">
        <w:t>by the applicant that any damage caused to the road pavement will be rectified in accordance with TII Pavement Standards.</w:t>
      </w:r>
      <w:r w:rsidR="001D0EA3">
        <w:t xml:space="preserve">  The applicant confirmed that consultation </w:t>
      </w:r>
      <w:r w:rsidR="00945D33">
        <w:t>will be undertaken by the appointed contractor in advance of any abnormal load deliveries commencing and that TII shall be advised of all proposals agreed</w:t>
      </w:r>
      <w:r w:rsidR="0059015B">
        <w:t xml:space="preserve"> between the appointed contractor and the relevant stakeholders.</w:t>
      </w:r>
    </w:p>
    <w:p w14:paraId="3DA6A8DC" w14:textId="0AC0DF7C" w:rsidR="00C625B2" w:rsidRPr="004F22F4" w:rsidRDefault="00C625B2" w:rsidP="003A295C">
      <w:pPr>
        <w:pStyle w:val="BBody1"/>
        <w:numPr>
          <w:ilvl w:val="0"/>
          <w:numId w:val="0"/>
        </w:numPr>
        <w:jc w:val="both"/>
      </w:pPr>
      <w:r>
        <w:t xml:space="preserve">The HSE </w:t>
      </w:r>
      <w:r w:rsidR="00737307">
        <w:t>has recommended that consideration is given to traffic related impacts during holiday periods w</w:t>
      </w:r>
      <w:r w:rsidR="00DA4CB2">
        <w:t>he</w:t>
      </w:r>
      <w:r w:rsidR="00737307">
        <w:t>n use of the Killimer-Tarbert ferry is likely to be at its height.</w:t>
      </w:r>
    </w:p>
    <w:p w14:paraId="31B44DCD" w14:textId="77777777" w:rsidR="00440824" w:rsidRDefault="00440824" w:rsidP="009117AD">
      <w:pPr>
        <w:pStyle w:val="Heading2"/>
      </w:pPr>
      <w:r w:rsidRPr="00302D10">
        <w:t>Context</w:t>
      </w:r>
    </w:p>
    <w:p w14:paraId="6D19786D" w14:textId="6F8752D2" w:rsidR="00440824" w:rsidRPr="004F22F4" w:rsidRDefault="009117AD" w:rsidP="008B5731">
      <w:pPr>
        <w:pStyle w:val="BBody1"/>
        <w:numPr>
          <w:ilvl w:val="0"/>
          <w:numId w:val="0"/>
        </w:numPr>
        <w:jc w:val="both"/>
      </w:pPr>
      <w:r>
        <w:t xml:space="preserve">EIAR </w:t>
      </w:r>
      <w:r w:rsidR="00751434">
        <w:t xml:space="preserve">Chapter 14 with </w:t>
      </w:r>
      <w:r w:rsidR="00265C10">
        <w:t>associated Figures</w:t>
      </w:r>
      <w:r w:rsidR="00751434">
        <w:t xml:space="preserve"> (14.1 -14.3)</w:t>
      </w:r>
      <w:r w:rsidR="006527F0">
        <w:t xml:space="preserve"> and Appendices 14A and 14B</w:t>
      </w:r>
      <w:r w:rsidR="002377F1">
        <w:t xml:space="preserve"> (including Survey Data and a CTMP) has assessed the Traffic and </w:t>
      </w:r>
      <w:r w:rsidR="008B5731">
        <w:t>Transportation</w:t>
      </w:r>
      <w:r w:rsidR="002377F1">
        <w:t xml:space="preserve"> impacts of the </w:t>
      </w:r>
      <w:r w:rsidR="0091417D">
        <w:t>Proposed Development.</w:t>
      </w:r>
      <w:r w:rsidR="00540287">
        <w:t xml:space="preserve"> </w:t>
      </w:r>
      <w:r w:rsidR="007161D9">
        <w:t>The EIAR describes</w:t>
      </w:r>
      <w:r w:rsidR="004B049D">
        <w:t xml:space="preserve"> the regulatory and policy framework, the methodology used, predicted</w:t>
      </w:r>
      <w:r w:rsidR="00CA28CB">
        <w:t xml:space="preserve"> and cumulative</w:t>
      </w:r>
      <w:r w:rsidR="004B049D">
        <w:t xml:space="preserve"> impacts and residual impacts following mitigation</w:t>
      </w:r>
      <w:r w:rsidR="00CA28CB">
        <w:t>.</w:t>
      </w:r>
      <w:r w:rsidR="0083578B">
        <w:t xml:space="preserve">  </w:t>
      </w:r>
    </w:p>
    <w:p w14:paraId="052DEE54" w14:textId="77777777" w:rsidR="00440824" w:rsidRDefault="00440824" w:rsidP="009117AD">
      <w:pPr>
        <w:pStyle w:val="Heading2"/>
      </w:pPr>
      <w:r>
        <w:t>Baseline</w:t>
      </w:r>
    </w:p>
    <w:p w14:paraId="179C74C0" w14:textId="77777777" w:rsidR="0058707C" w:rsidRDefault="00A52E2D" w:rsidP="00A52E2D">
      <w:pPr>
        <w:pStyle w:val="BBody1"/>
        <w:numPr>
          <w:ilvl w:val="0"/>
          <w:numId w:val="0"/>
        </w:numPr>
        <w:jc w:val="both"/>
      </w:pPr>
      <w:r>
        <w:t>To assist in determining the impact of the Proposed Development on the surrounding road network, the following guidance has also been adhered to: Transport Infrastructure Ireland (TII) standard ‘PE-PDV</w:t>
      </w:r>
      <w:r w:rsidR="007161D9">
        <w:t>-</w:t>
      </w:r>
      <w:r>
        <w:t>02045, Traffic and Transport Assessment Guidelines’ (May 2014).</w:t>
      </w:r>
      <w:r w:rsidR="00545905">
        <w:t xml:space="preserve">  </w:t>
      </w:r>
      <w:r w:rsidR="0058707C">
        <w:t>Traffic surveys which inform the baseline conditions on the surrounding road network were undertaken by an independent survey company (IDASO) under instruction from AECOM.</w:t>
      </w:r>
    </w:p>
    <w:p w14:paraId="41CCFB9E" w14:textId="6CE13ADF" w:rsidR="00AA15B7" w:rsidRDefault="00545905" w:rsidP="00A52E2D">
      <w:pPr>
        <w:pStyle w:val="BBody1"/>
        <w:numPr>
          <w:ilvl w:val="0"/>
          <w:numId w:val="0"/>
        </w:numPr>
        <w:jc w:val="both"/>
      </w:pPr>
      <w:r>
        <w:t>The N67 (north of Tarbert town) and its junction with the N69 represents the study area for this assessment.  Two existing access and egress points to the SSE Tarbert Site will be utilised for the Proposed Development which are both located off N67.</w:t>
      </w:r>
      <w:r w:rsidR="001F42E0">
        <w:t xml:space="preserve">  The N67 (National Secondary Road) is approximately 6.2m wide and connects Co. Kerry with Co. Clare and Co. Galway via the Tarbert – Killimer ferry across the Shannon Estuary, in a north-west to southeast direction.</w:t>
      </w:r>
      <w:r w:rsidR="00AA15B7">
        <w:t xml:space="preserve">  The N69 (National Secondary Road) </w:t>
      </w:r>
      <w:r w:rsidR="00AA15B7">
        <w:lastRenderedPageBreak/>
        <w:t>connects Tralee in Co. Kerry with Limerick City running in a northerly direction from Tralee to Tarbert and an easterly direction towards Limerick.</w:t>
      </w:r>
      <w:r w:rsidR="001F42E0">
        <w:t xml:space="preserve"> </w:t>
      </w:r>
    </w:p>
    <w:p w14:paraId="4E1CC263" w14:textId="6F7049D2" w:rsidR="00440824" w:rsidRDefault="00CC577F" w:rsidP="00A52E2D">
      <w:pPr>
        <w:pStyle w:val="BBody1"/>
        <w:numPr>
          <w:ilvl w:val="0"/>
          <w:numId w:val="0"/>
        </w:numPr>
        <w:jc w:val="both"/>
      </w:pPr>
      <w:r>
        <w:t>A Construction Traffic Management Plan (CTMP) has been prepared as part as this planning application, refer to Appendix 14B, EIAR Volume II. The CTMP has indicated that all construction traffic associated with the Proposed Development (heavy haul, general delivery, and site operatives) will arrive via the N69 and N67 and other National/ Regional Roads.</w:t>
      </w:r>
    </w:p>
    <w:p w14:paraId="03C98BDB" w14:textId="5121807E" w:rsidR="002448DA" w:rsidRPr="004F22F4" w:rsidRDefault="002448DA" w:rsidP="00A52E2D">
      <w:pPr>
        <w:pStyle w:val="BBody1"/>
        <w:numPr>
          <w:ilvl w:val="0"/>
          <w:numId w:val="0"/>
        </w:numPr>
        <w:jc w:val="both"/>
      </w:pPr>
      <w:r>
        <w:t>The construction phase of the Proposed Development will be up to 29 months. Capacity assessments were undertaken on critical highway links in the vicinity of the Site at future years including traffic growth on the adjacent road network and development traffic. The results indicate that these links can operate within capacity and can accommodate the traffic associated with the Proposed Development</w:t>
      </w:r>
      <w:r w:rsidR="00D40083">
        <w:t>.</w:t>
      </w:r>
    </w:p>
    <w:p w14:paraId="405A40CF" w14:textId="77777777" w:rsidR="00440824" w:rsidRDefault="00440824" w:rsidP="00440824">
      <w:pPr>
        <w:pStyle w:val="Heading2"/>
      </w:pPr>
      <w:r>
        <w:t>Potential Effects</w:t>
      </w:r>
    </w:p>
    <w:p w14:paraId="61750DCE" w14:textId="7A7DC34C" w:rsidR="00440824" w:rsidRPr="00EB28E7" w:rsidRDefault="00440824" w:rsidP="00440824">
      <w:pPr>
        <w:jc w:val="both"/>
        <w:rPr>
          <w:rFonts w:ascii="Arial" w:hAnsi="Arial" w:cs="Arial"/>
          <w:sz w:val="24"/>
          <w:szCs w:val="24"/>
        </w:rPr>
      </w:pPr>
      <w:r w:rsidRPr="00E10034">
        <w:rPr>
          <w:rFonts w:ascii="Arial" w:hAnsi="Arial" w:cs="Arial"/>
          <w:sz w:val="24"/>
          <w:szCs w:val="24"/>
        </w:rPr>
        <w:t xml:space="preserve">Likely significant effects of the development, as identified in the EIAR are summarised in Table </w:t>
      </w:r>
      <w:r>
        <w:rPr>
          <w:rFonts w:ascii="Arial" w:hAnsi="Arial" w:cs="Arial"/>
          <w:sz w:val="24"/>
          <w:szCs w:val="24"/>
        </w:rPr>
        <w:t>1</w:t>
      </w:r>
      <w:r w:rsidR="006F3E71">
        <w:rPr>
          <w:rFonts w:ascii="Arial" w:hAnsi="Arial" w:cs="Arial"/>
          <w:sz w:val="24"/>
          <w:szCs w:val="24"/>
        </w:rPr>
        <w:t>5</w:t>
      </w:r>
      <w:r w:rsidRPr="00E10034">
        <w:rPr>
          <w:rFonts w:ascii="Arial" w:hAnsi="Arial" w:cs="Arial"/>
          <w:sz w:val="24"/>
          <w:szCs w:val="24"/>
        </w:rPr>
        <w:t>.1 below.</w:t>
      </w:r>
    </w:p>
    <w:tbl>
      <w:tblPr>
        <w:tblStyle w:val="TableGrid"/>
        <w:tblW w:w="0" w:type="auto"/>
        <w:tblLook w:val="04A0" w:firstRow="1" w:lastRow="0" w:firstColumn="1" w:lastColumn="0" w:noHBand="0" w:noVBand="1"/>
      </w:tblPr>
      <w:tblGrid>
        <w:gridCol w:w="9016"/>
      </w:tblGrid>
      <w:tr w:rsidR="00440824" w:rsidRPr="00E10034" w14:paraId="19E72AE0" w14:textId="77777777" w:rsidTr="00673FA2">
        <w:tc>
          <w:tcPr>
            <w:tcW w:w="9016" w:type="dxa"/>
            <w:shd w:val="clear" w:color="auto" w:fill="BFBFBF" w:themeFill="background1" w:themeFillShade="BF"/>
          </w:tcPr>
          <w:p w14:paraId="629F720C" w14:textId="12108A86" w:rsidR="00440824" w:rsidRPr="004515A2" w:rsidRDefault="00440824" w:rsidP="00673FA2">
            <w:pPr>
              <w:tabs>
                <w:tab w:val="center" w:pos="4400"/>
              </w:tabs>
              <w:jc w:val="both"/>
              <w:rPr>
                <w:rFonts w:ascii="Arial" w:hAnsi="Arial" w:cs="Arial"/>
                <w:b/>
                <w:bCs/>
              </w:rPr>
            </w:pPr>
            <w:r w:rsidRPr="004515A2">
              <w:rPr>
                <w:rFonts w:ascii="Arial" w:hAnsi="Arial" w:cs="Arial"/>
                <w:b/>
                <w:bCs/>
              </w:rPr>
              <w:t>Table 1</w:t>
            </w:r>
            <w:r w:rsidR="006F3E71" w:rsidRPr="004515A2">
              <w:rPr>
                <w:rFonts w:ascii="Arial" w:hAnsi="Arial" w:cs="Arial"/>
                <w:b/>
                <w:bCs/>
              </w:rPr>
              <w:t>5</w:t>
            </w:r>
            <w:r w:rsidRPr="004515A2">
              <w:rPr>
                <w:rFonts w:ascii="Arial" w:hAnsi="Arial" w:cs="Arial"/>
                <w:b/>
                <w:bCs/>
              </w:rPr>
              <w:t>.1:  Summary of Potential Effects (</w:t>
            </w:r>
            <w:r w:rsidR="009B1FE0" w:rsidRPr="004515A2">
              <w:rPr>
                <w:rFonts w:ascii="Arial" w:hAnsi="Arial" w:cs="Arial"/>
                <w:b/>
                <w:bCs/>
              </w:rPr>
              <w:t>Traffic and Transport</w:t>
            </w:r>
            <w:r w:rsidRPr="004515A2">
              <w:rPr>
                <w:rFonts w:ascii="Arial" w:hAnsi="Arial" w:cs="Arial"/>
                <w:b/>
                <w:bCs/>
              </w:rPr>
              <w:t>)</w:t>
            </w:r>
          </w:p>
        </w:tc>
      </w:tr>
      <w:tr w:rsidR="00440824" w:rsidRPr="00E10034" w14:paraId="322E2CFE" w14:textId="77777777" w:rsidTr="00673FA2">
        <w:tc>
          <w:tcPr>
            <w:tcW w:w="9016" w:type="dxa"/>
            <w:shd w:val="clear" w:color="auto" w:fill="D9D9D9" w:themeFill="background1" w:themeFillShade="D9"/>
          </w:tcPr>
          <w:p w14:paraId="54649829" w14:textId="77777777" w:rsidR="00440824" w:rsidRPr="004515A2" w:rsidRDefault="00440824" w:rsidP="00673FA2">
            <w:pPr>
              <w:tabs>
                <w:tab w:val="center" w:pos="4400"/>
              </w:tabs>
              <w:jc w:val="both"/>
              <w:rPr>
                <w:rFonts w:ascii="Arial" w:hAnsi="Arial" w:cs="Arial"/>
              </w:rPr>
            </w:pPr>
            <w:r w:rsidRPr="004515A2">
              <w:rPr>
                <w:rFonts w:ascii="Arial" w:hAnsi="Arial" w:cs="Arial"/>
                <w:b/>
                <w:bCs/>
              </w:rPr>
              <w:t>Do Nothing</w:t>
            </w:r>
            <w:r w:rsidRPr="004515A2">
              <w:rPr>
                <w:rFonts w:ascii="Arial" w:hAnsi="Arial" w:cs="Arial"/>
                <w:b/>
                <w:bCs/>
              </w:rPr>
              <w:tab/>
            </w:r>
          </w:p>
        </w:tc>
      </w:tr>
      <w:tr w:rsidR="00440824" w:rsidRPr="00E10034" w14:paraId="5D088CB2" w14:textId="77777777" w:rsidTr="00673FA2">
        <w:tc>
          <w:tcPr>
            <w:tcW w:w="9016" w:type="dxa"/>
          </w:tcPr>
          <w:p w14:paraId="47C8D29B" w14:textId="77777777" w:rsidR="00DF467E" w:rsidRPr="004515A2" w:rsidRDefault="00DF467E" w:rsidP="00C6208E">
            <w:pPr>
              <w:pStyle w:val="ListParagraph"/>
              <w:numPr>
                <w:ilvl w:val="0"/>
                <w:numId w:val="41"/>
              </w:numPr>
              <w:spacing w:after="0" w:line="240" w:lineRule="auto"/>
              <w:jc w:val="both"/>
              <w:rPr>
                <w:sz w:val="22"/>
                <w:szCs w:val="22"/>
              </w:rPr>
            </w:pPr>
            <w:r w:rsidRPr="004515A2">
              <w:rPr>
                <w:sz w:val="22"/>
                <w:szCs w:val="22"/>
              </w:rPr>
              <w:t xml:space="preserve">The ‘do nothing’ scenario describes the circumstance where no development occurs. Should the Proposed Development not take place, the surrounding road network will remain in the current condition i.e., the SSE Tarbert Site will continue to generate the same vehicular traffic to the SSE Tarbert Site as it currently generates. </w:t>
            </w:r>
          </w:p>
          <w:p w14:paraId="1F3E9097" w14:textId="77777777" w:rsidR="00DF467E" w:rsidRPr="004515A2" w:rsidRDefault="00DF467E" w:rsidP="00C6208E">
            <w:pPr>
              <w:pStyle w:val="ListParagraph"/>
              <w:numPr>
                <w:ilvl w:val="0"/>
                <w:numId w:val="41"/>
              </w:numPr>
              <w:spacing w:after="0" w:line="240" w:lineRule="auto"/>
              <w:jc w:val="both"/>
              <w:rPr>
                <w:sz w:val="22"/>
                <w:szCs w:val="22"/>
              </w:rPr>
            </w:pPr>
            <w:r w:rsidRPr="004515A2">
              <w:rPr>
                <w:sz w:val="22"/>
                <w:szCs w:val="22"/>
              </w:rPr>
              <w:t xml:space="preserve">This ‘existing’ condition includes traffic associated with the construction of the TEG on the SSE Tarbert Site and therefore no additional traffic associated with TEG construction needs to be considered. </w:t>
            </w:r>
          </w:p>
          <w:p w14:paraId="3080ECC8" w14:textId="7B2BA243" w:rsidR="00440824" w:rsidRPr="004515A2" w:rsidRDefault="00DF467E" w:rsidP="00C6208E">
            <w:pPr>
              <w:pStyle w:val="ListParagraph"/>
              <w:numPr>
                <w:ilvl w:val="0"/>
                <w:numId w:val="41"/>
              </w:numPr>
              <w:spacing w:after="0" w:line="240" w:lineRule="auto"/>
              <w:jc w:val="both"/>
              <w:rPr>
                <w:sz w:val="22"/>
                <w:szCs w:val="22"/>
              </w:rPr>
            </w:pPr>
            <w:r w:rsidRPr="004515A2">
              <w:rPr>
                <w:sz w:val="22"/>
                <w:szCs w:val="22"/>
              </w:rPr>
              <w:t>However, natural traffic growth is expected to occur. Based on predicted growth rates for the KCC area (TII Project Appraisal Guidelines for National Roads Unit 5.3 – Travel demand Projections, 2017), the background traffic is expected to increase by 1.0337% between 2023 and 2026 and by 1.1970% between 202</w:t>
            </w:r>
            <w:r w:rsidR="00A34008">
              <w:rPr>
                <w:sz w:val="22"/>
                <w:szCs w:val="22"/>
              </w:rPr>
              <w:t>3</w:t>
            </w:r>
            <w:r w:rsidRPr="004515A2">
              <w:rPr>
                <w:sz w:val="22"/>
                <w:szCs w:val="22"/>
              </w:rPr>
              <w:t>and 2041.</w:t>
            </w:r>
          </w:p>
        </w:tc>
      </w:tr>
      <w:tr w:rsidR="00440824" w:rsidRPr="00E10034" w14:paraId="27E74437" w14:textId="77777777" w:rsidTr="00673FA2">
        <w:tc>
          <w:tcPr>
            <w:tcW w:w="9016" w:type="dxa"/>
            <w:shd w:val="clear" w:color="auto" w:fill="D9D9D9" w:themeFill="background1" w:themeFillShade="D9"/>
          </w:tcPr>
          <w:p w14:paraId="2C0A72EA" w14:textId="77777777" w:rsidR="00440824" w:rsidRPr="004515A2" w:rsidRDefault="00440824" w:rsidP="00673FA2">
            <w:pPr>
              <w:jc w:val="both"/>
              <w:rPr>
                <w:rFonts w:ascii="Arial" w:hAnsi="Arial" w:cs="Arial"/>
              </w:rPr>
            </w:pPr>
            <w:r w:rsidRPr="004515A2">
              <w:rPr>
                <w:rFonts w:ascii="Arial" w:hAnsi="Arial" w:cs="Arial"/>
                <w:b/>
                <w:bCs/>
              </w:rPr>
              <w:t>Construction</w:t>
            </w:r>
          </w:p>
        </w:tc>
      </w:tr>
      <w:tr w:rsidR="00440824" w:rsidRPr="00E10034" w14:paraId="5DF18C86" w14:textId="77777777" w:rsidTr="00673FA2">
        <w:tc>
          <w:tcPr>
            <w:tcW w:w="9016" w:type="dxa"/>
          </w:tcPr>
          <w:p w14:paraId="6E30B736" w14:textId="73C9748F" w:rsidR="00440824" w:rsidRPr="004515A2" w:rsidRDefault="00F97C95" w:rsidP="00C6208E">
            <w:pPr>
              <w:pStyle w:val="ListParagraph"/>
              <w:numPr>
                <w:ilvl w:val="0"/>
                <w:numId w:val="41"/>
              </w:numPr>
              <w:spacing w:after="0" w:line="240" w:lineRule="auto"/>
              <w:jc w:val="both"/>
              <w:rPr>
                <w:sz w:val="22"/>
                <w:szCs w:val="22"/>
              </w:rPr>
            </w:pPr>
            <w:r w:rsidRPr="004515A2">
              <w:rPr>
                <w:sz w:val="22"/>
                <w:szCs w:val="22"/>
              </w:rPr>
              <w:t>The construction phase is expected to take 29</w:t>
            </w:r>
            <w:r w:rsidR="00E4445E">
              <w:rPr>
                <w:sz w:val="22"/>
                <w:szCs w:val="22"/>
              </w:rPr>
              <w:t xml:space="preserve"> </w:t>
            </w:r>
            <w:r w:rsidR="00365D5E">
              <w:rPr>
                <w:sz w:val="22"/>
                <w:szCs w:val="22"/>
              </w:rPr>
              <w:t>months</w:t>
            </w:r>
            <w:r w:rsidRPr="004515A2">
              <w:rPr>
                <w:sz w:val="22"/>
                <w:szCs w:val="22"/>
              </w:rPr>
              <w:t xml:space="preserve">.  </w:t>
            </w:r>
            <w:r w:rsidR="000A4EEC" w:rsidRPr="004515A2">
              <w:rPr>
                <w:sz w:val="22"/>
                <w:szCs w:val="22"/>
              </w:rPr>
              <w:t>Months 12 to 22 will observe the highest number of staff vehicle arrivals on the Site with a maximum of 200 staff on Site at once</w:t>
            </w:r>
            <w:r w:rsidR="001836B3" w:rsidRPr="004515A2">
              <w:rPr>
                <w:sz w:val="22"/>
                <w:szCs w:val="22"/>
              </w:rPr>
              <w:t xml:space="preserve">.  </w:t>
            </w:r>
            <w:r w:rsidR="0012111E" w:rsidRPr="004515A2">
              <w:rPr>
                <w:sz w:val="22"/>
                <w:szCs w:val="22"/>
              </w:rPr>
              <w:t xml:space="preserve">HDV movements are expected to peak in Months 28 -29 with a total of 22 HDV arrivals each day (44 two-way trips). </w:t>
            </w:r>
            <w:r w:rsidR="003E4F64" w:rsidRPr="004515A2">
              <w:rPr>
                <w:sz w:val="22"/>
                <w:szCs w:val="22"/>
              </w:rPr>
              <w:t>Traffic volumes associated with the Proposed Development are relatively low in numbers and relate primarily to the delivery of construction equipment, materials, and construction operations.</w:t>
            </w:r>
          </w:p>
        </w:tc>
      </w:tr>
      <w:tr w:rsidR="00440824" w:rsidRPr="00E10034" w14:paraId="677BFECF" w14:textId="77777777" w:rsidTr="00673FA2">
        <w:tc>
          <w:tcPr>
            <w:tcW w:w="9016" w:type="dxa"/>
            <w:shd w:val="clear" w:color="auto" w:fill="D9D9D9" w:themeFill="background1" w:themeFillShade="D9"/>
          </w:tcPr>
          <w:p w14:paraId="16A8DEE7" w14:textId="77777777" w:rsidR="00440824" w:rsidRPr="004515A2" w:rsidRDefault="00440824" w:rsidP="00673FA2">
            <w:pPr>
              <w:jc w:val="both"/>
              <w:rPr>
                <w:rFonts w:ascii="Arial" w:hAnsi="Arial" w:cs="Arial"/>
              </w:rPr>
            </w:pPr>
            <w:r w:rsidRPr="004515A2">
              <w:rPr>
                <w:rFonts w:ascii="Arial" w:hAnsi="Arial" w:cs="Arial"/>
                <w:b/>
                <w:bCs/>
              </w:rPr>
              <w:t>Operational Impacts</w:t>
            </w:r>
          </w:p>
        </w:tc>
      </w:tr>
      <w:tr w:rsidR="00440824" w:rsidRPr="00E10034" w14:paraId="1FA1FCA6" w14:textId="77777777" w:rsidTr="00673FA2">
        <w:tc>
          <w:tcPr>
            <w:tcW w:w="9016" w:type="dxa"/>
          </w:tcPr>
          <w:p w14:paraId="6DCCB8B6" w14:textId="77777777" w:rsidR="00440824" w:rsidRPr="004515A2" w:rsidRDefault="00D97176" w:rsidP="00C6208E">
            <w:pPr>
              <w:pStyle w:val="ListParagraph"/>
              <w:numPr>
                <w:ilvl w:val="0"/>
                <w:numId w:val="42"/>
              </w:numPr>
              <w:spacing w:after="0" w:line="240" w:lineRule="auto"/>
              <w:jc w:val="both"/>
              <w:rPr>
                <w:sz w:val="22"/>
                <w:szCs w:val="22"/>
              </w:rPr>
            </w:pPr>
            <w:r w:rsidRPr="004515A2">
              <w:rPr>
                <w:sz w:val="22"/>
                <w:szCs w:val="22"/>
              </w:rPr>
              <w:t>The operational phase was scoped out of the assessment as minimal operational traffic will be generated. The Proposed Development is predicted to have a negligible impact on the surrounding road network, this is also representative of predicted decommissioning effects.</w:t>
            </w:r>
          </w:p>
          <w:p w14:paraId="4E654F5A" w14:textId="6267E11F" w:rsidR="006842B7" w:rsidRPr="004515A2" w:rsidRDefault="006842B7" w:rsidP="00C6208E">
            <w:pPr>
              <w:pStyle w:val="ListParagraph"/>
              <w:numPr>
                <w:ilvl w:val="0"/>
                <w:numId w:val="42"/>
              </w:numPr>
              <w:spacing w:after="0" w:line="240" w:lineRule="auto"/>
              <w:jc w:val="both"/>
              <w:rPr>
                <w:sz w:val="22"/>
                <w:szCs w:val="22"/>
              </w:rPr>
            </w:pPr>
            <w:r w:rsidRPr="004515A2">
              <w:rPr>
                <w:sz w:val="22"/>
                <w:szCs w:val="22"/>
              </w:rPr>
              <w:lastRenderedPageBreak/>
              <w:t>During the operational phase, the Proposed Development will run on Hydrotreated Vegetable Oil (HVO). The HVO will, as part of the Proposed Development, be delivered to Site by road in HDV tankers.</w:t>
            </w:r>
            <w:r w:rsidR="00FC4744" w:rsidRPr="004515A2">
              <w:rPr>
                <w:sz w:val="22"/>
                <w:szCs w:val="22"/>
              </w:rPr>
              <w:t xml:space="preserve">  Therefore, deliveries of HVO will be by road and will be stored on Site in proposed tanks before being pumped to its operating destination within the Site. During standard operation there will only be 13no. staff arriving to the Site each day.</w:t>
            </w:r>
          </w:p>
        </w:tc>
      </w:tr>
      <w:tr w:rsidR="00440824" w:rsidRPr="00E10034" w14:paraId="00000940" w14:textId="77777777" w:rsidTr="00673FA2">
        <w:tc>
          <w:tcPr>
            <w:tcW w:w="9016" w:type="dxa"/>
            <w:shd w:val="clear" w:color="auto" w:fill="D9D9D9" w:themeFill="background1" w:themeFillShade="D9"/>
          </w:tcPr>
          <w:p w14:paraId="246634B0" w14:textId="77777777" w:rsidR="00440824" w:rsidRPr="004515A2" w:rsidRDefault="00440824" w:rsidP="00673FA2">
            <w:pPr>
              <w:jc w:val="both"/>
              <w:rPr>
                <w:rFonts w:ascii="Arial" w:hAnsi="Arial" w:cs="Arial"/>
              </w:rPr>
            </w:pPr>
            <w:r w:rsidRPr="004515A2">
              <w:rPr>
                <w:rFonts w:ascii="Arial" w:hAnsi="Arial" w:cs="Arial"/>
                <w:b/>
                <w:bCs/>
              </w:rPr>
              <w:lastRenderedPageBreak/>
              <w:t>Decommissioning</w:t>
            </w:r>
          </w:p>
        </w:tc>
      </w:tr>
      <w:tr w:rsidR="00440824" w:rsidRPr="00E10034" w14:paraId="7F038313" w14:textId="77777777" w:rsidTr="00673FA2">
        <w:tc>
          <w:tcPr>
            <w:tcW w:w="9016" w:type="dxa"/>
          </w:tcPr>
          <w:p w14:paraId="1C6F9067" w14:textId="12D23183" w:rsidR="00727065" w:rsidRPr="00AE1804" w:rsidRDefault="00C15C24" w:rsidP="00AE1804">
            <w:pPr>
              <w:pStyle w:val="ListParagraph"/>
              <w:numPr>
                <w:ilvl w:val="0"/>
                <w:numId w:val="41"/>
              </w:numPr>
              <w:spacing w:after="0" w:line="240" w:lineRule="auto"/>
              <w:jc w:val="both"/>
              <w:rPr>
                <w:sz w:val="22"/>
                <w:szCs w:val="22"/>
              </w:rPr>
            </w:pPr>
            <w:r w:rsidRPr="004515A2">
              <w:rPr>
                <w:sz w:val="22"/>
                <w:szCs w:val="22"/>
              </w:rPr>
              <w:t>A Decommissioning Plan will be prepared and agreed with the EPA as part of the permit surrender process. The DEMP will guidance and appropriate mitigation procedures as necessary, to minimise risk.</w:t>
            </w:r>
          </w:p>
        </w:tc>
      </w:tr>
      <w:tr w:rsidR="00440824" w:rsidRPr="00E10034" w14:paraId="5AB21469" w14:textId="77777777" w:rsidTr="00673FA2">
        <w:tc>
          <w:tcPr>
            <w:tcW w:w="9016" w:type="dxa"/>
            <w:shd w:val="clear" w:color="auto" w:fill="D9D9D9" w:themeFill="background1" w:themeFillShade="D9"/>
          </w:tcPr>
          <w:p w14:paraId="44C87EB7" w14:textId="77777777" w:rsidR="00440824" w:rsidRPr="004515A2" w:rsidRDefault="00440824" w:rsidP="00673FA2">
            <w:pPr>
              <w:jc w:val="both"/>
              <w:rPr>
                <w:rFonts w:ascii="Arial" w:hAnsi="Arial" w:cs="Arial"/>
              </w:rPr>
            </w:pPr>
            <w:r w:rsidRPr="004515A2">
              <w:rPr>
                <w:rFonts w:ascii="Arial" w:hAnsi="Arial" w:cs="Arial"/>
                <w:b/>
                <w:bCs/>
              </w:rPr>
              <w:t>Cumulative Impacts</w:t>
            </w:r>
          </w:p>
        </w:tc>
      </w:tr>
      <w:tr w:rsidR="00440824" w:rsidRPr="00E10034" w14:paraId="4F9B6F73" w14:textId="77777777" w:rsidTr="00673FA2">
        <w:tc>
          <w:tcPr>
            <w:tcW w:w="9016" w:type="dxa"/>
          </w:tcPr>
          <w:p w14:paraId="7CC5E97E" w14:textId="06C80FA4" w:rsidR="00440824" w:rsidRPr="004515A2" w:rsidRDefault="00BB20E9" w:rsidP="00C6208E">
            <w:pPr>
              <w:pStyle w:val="ListParagraph"/>
              <w:numPr>
                <w:ilvl w:val="0"/>
                <w:numId w:val="43"/>
              </w:numPr>
              <w:spacing w:after="0" w:line="240" w:lineRule="auto"/>
              <w:jc w:val="both"/>
              <w:rPr>
                <w:sz w:val="22"/>
                <w:szCs w:val="22"/>
              </w:rPr>
            </w:pPr>
            <w:proofErr w:type="gramStart"/>
            <w:r w:rsidRPr="004515A2">
              <w:rPr>
                <w:sz w:val="22"/>
                <w:szCs w:val="22"/>
              </w:rPr>
              <w:t>Application 23350</w:t>
            </w:r>
            <w:r w:rsidR="00A34008">
              <w:rPr>
                <w:sz w:val="22"/>
                <w:szCs w:val="22"/>
              </w:rPr>
              <w:t xml:space="preserve"> (Tarbert Substation),</w:t>
            </w:r>
            <w:proofErr w:type="gramEnd"/>
            <w:r w:rsidR="00A34008" w:rsidRPr="004515A2">
              <w:rPr>
                <w:sz w:val="22"/>
                <w:szCs w:val="22"/>
              </w:rPr>
              <w:t xml:space="preserve"> could</w:t>
            </w:r>
            <w:r w:rsidRPr="004515A2">
              <w:rPr>
                <w:sz w:val="22"/>
                <w:szCs w:val="22"/>
              </w:rPr>
              <w:t xml:space="preserve"> potentially have an overlapping construction period with the proposed development.  </w:t>
            </w:r>
            <w:r w:rsidR="00AF72B6" w:rsidRPr="004515A2">
              <w:rPr>
                <w:sz w:val="22"/>
                <w:szCs w:val="22"/>
              </w:rPr>
              <w:t>The overlap in trips is not expected to result in a significant impact and the roads will have capacity to deal with the additional traffic.</w:t>
            </w:r>
          </w:p>
        </w:tc>
      </w:tr>
    </w:tbl>
    <w:p w14:paraId="7DC3175D" w14:textId="77777777" w:rsidR="00440824" w:rsidRDefault="00440824" w:rsidP="00440824">
      <w:pPr>
        <w:pStyle w:val="Heading2"/>
      </w:pPr>
      <w:r>
        <w:t>Mitigation</w:t>
      </w:r>
    </w:p>
    <w:p w14:paraId="406438B5" w14:textId="546D16D7" w:rsidR="00440824" w:rsidRPr="00680AAF" w:rsidRDefault="00D40083" w:rsidP="008C736F">
      <w:pPr>
        <w:pStyle w:val="BBody1"/>
        <w:numPr>
          <w:ilvl w:val="0"/>
          <w:numId w:val="0"/>
        </w:numPr>
        <w:jc w:val="both"/>
      </w:pPr>
      <w:r>
        <w:t>The implementation of the CTMP by the Contractor will minimise the potential for traffic and transport impacts during construction phase activities.</w:t>
      </w:r>
    </w:p>
    <w:p w14:paraId="5FE03D36" w14:textId="77777777" w:rsidR="00440824" w:rsidRDefault="00440824" w:rsidP="00440824">
      <w:pPr>
        <w:pStyle w:val="Heading2"/>
      </w:pPr>
      <w:r>
        <w:t>Residual Effects</w:t>
      </w:r>
    </w:p>
    <w:p w14:paraId="38992911" w14:textId="16AC889A" w:rsidR="00440824" w:rsidRPr="00680AAF" w:rsidRDefault="00A74BB6" w:rsidP="00F0508F">
      <w:pPr>
        <w:pStyle w:val="BBody1"/>
        <w:numPr>
          <w:ilvl w:val="0"/>
          <w:numId w:val="0"/>
        </w:numPr>
        <w:jc w:val="both"/>
      </w:pPr>
      <w:r>
        <w:t xml:space="preserve">The temporary increase in construction traffic is likely to result in a slight environmental effect in terms of temporary construction phase traffic. The management of these effects will be achieved through the implementation of the CTMP. </w:t>
      </w:r>
      <w:r w:rsidR="00F0508F">
        <w:t xml:space="preserve"> </w:t>
      </w:r>
      <w:r>
        <w:t>Once the identified mitigation and monitoring measures, appropriate design standards and operational management plans are adhered to, it is considered that any impacts from the Proposed Development will result in a Temporary Negative effect, Slight in significance, during the construction phase.</w:t>
      </w:r>
    </w:p>
    <w:p w14:paraId="66C952F5" w14:textId="77777777" w:rsidR="00440824" w:rsidRDefault="00440824" w:rsidP="00440824">
      <w:pPr>
        <w:pStyle w:val="Heading2"/>
      </w:pPr>
      <w:r>
        <w:t>The Assessment:  Direct and Indirect Effects</w:t>
      </w:r>
    </w:p>
    <w:p w14:paraId="011DCF4E" w14:textId="77777777" w:rsidR="00805B11" w:rsidRDefault="00134379" w:rsidP="0081620A">
      <w:pPr>
        <w:pStyle w:val="BBody1"/>
        <w:numPr>
          <w:ilvl w:val="0"/>
          <w:numId w:val="0"/>
        </w:numPr>
        <w:jc w:val="both"/>
      </w:pPr>
      <w:r>
        <w:t xml:space="preserve">Road traffic assessment was based on the worst-case </w:t>
      </w:r>
      <w:proofErr w:type="gramStart"/>
      <w:r>
        <w:t>scenario</w:t>
      </w:r>
      <w:proofErr w:type="gramEnd"/>
      <w:r>
        <w:t xml:space="preserve"> and I am satisfied that the assessment is robust</w:t>
      </w:r>
      <w:r w:rsidR="00871665">
        <w:t xml:space="preserve">.  </w:t>
      </w:r>
      <w:r w:rsidR="009A18C4">
        <w:t>Effects arising from the process of decommissioning of the Proposed Development are considered similar nature and duration to those arising from the construction phase</w:t>
      </w:r>
      <w:r w:rsidR="004B24E3">
        <w:t>.</w:t>
      </w:r>
      <w:r w:rsidR="00980604">
        <w:t xml:space="preserve">  There is potential for </w:t>
      </w:r>
      <w:r w:rsidR="003803E6">
        <w:t xml:space="preserve">temporary </w:t>
      </w:r>
      <w:r w:rsidR="00980604">
        <w:t>minor localised</w:t>
      </w:r>
      <w:r w:rsidR="007E78CA">
        <w:t xml:space="preserve"> impacts on the road network during the construction and decommissioning phases, but </w:t>
      </w:r>
      <w:r w:rsidR="00F7211C">
        <w:t>junctions will operate well within capacity.</w:t>
      </w:r>
      <w:r w:rsidR="00392C6D">
        <w:t xml:space="preserve">  </w:t>
      </w:r>
    </w:p>
    <w:p w14:paraId="4001E079" w14:textId="3CA600CF" w:rsidR="00692D32" w:rsidRDefault="00805B11" w:rsidP="00587158">
      <w:pPr>
        <w:pStyle w:val="BBody1"/>
        <w:numPr>
          <w:ilvl w:val="0"/>
          <w:numId w:val="0"/>
        </w:numPr>
        <w:jc w:val="both"/>
      </w:pPr>
      <w:r>
        <w:lastRenderedPageBreak/>
        <w:t>I note TII</w:t>
      </w:r>
      <w:r w:rsidR="00F1537C">
        <w:t>’</w:t>
      </w:r>
      <w:r>
        <w:t xml:space="preserve">s </w:t>
      </w:r>
      <w:r w:rsidR="006A56DA">
        <w:t>submission</w:t>
      </w:r>
      <w:r w:rsidR="002225DA">
        <w:t xml:space="preserve"> and concerns</w:t>
      </w:r>
      <w:r w:rsidR="006A56DA">
        <w:t xml:space="preserve"> in relation to </w:t>
      </w:r>
      <w:r w:rsidR="006813AC">
        <w:t xml:space="preserve">the </w:t>
      </w:r>
      <w:r w:rsidR="006A56DA">
        <w:t xml:space="preserve">abnormal </w:t>
      </w:r>
      <w:r w:rsidR="00B34A09">
        <w:t>load</w:t>
      </w:r>
      <w:r w:rsidR="006813AC">
        <w:t xml:space="preserve"> haulage routes</w:t>
      </w:r>
      <w:r w:rsidR="00B34A09">
        <w:t xml:space="preserve"> </w:t>
      </w:r>
      <w:r w:rsidR="006A56DA">
        <w:t xml:space="preserve">for the </w:t>
      </w:r>
      <w:r w:rsidR="006813AC">
        <w:t xml:space="preserve">construction of the </w:t>
      </w:r>
      <w:r w:rsidR="006A56DA">
        <w:t xml:space="preserve">proposed development.  </w:t>
      </w:r>
      <w:r w:rsidR="00286575">
        <w:t>I note that d</w:t>
      </w:r>
      <w:r w:rsidR="00692D32">
        <w:t xml:space="preserve">eliveries will be undertaken in accordance with the routes set out in the Abnormal Loads Report and in consultation with the PPP companies, </w:t>
      </w:r>
      <w:proofErr w:type="spellStart"/>
      <w:r w:rsidR="00692D32">
        <w:t>MMaRC</w:t>
      </w:r>
      <w:proofErr w:type="spellEnd"/>
      <w:r w:rsidR="00692D32">
        <w:t xml:space="preserve"> Contractors and relevant road authorities</w:t>
      </w:r>
      <w:r w:rsidR="00700FD4">
        <w:t xml:space="preserve"> and that </w:t>
      </w:r>
      <w:r w:rsidR="00692D32">
        <w:t>TII will be advised of all proposals agreed between the appointed contractor and relevant stakeholders.</w:t>
      </w:r>
      <w:r w:rsidR="00587158">
        <w:t xml:space="preserve">  </w:t>
      </w:r>
      <w:r w:rsidR="00692D32" w:rsidRPr="00B035EF">
        <w:t>The applicant acknowledges that any damage caused to the existing road pavement due to turning movements related to deliveries will be rectified in accordance with TII Pavement Standards</w:t>
      </w:r>
      <w:r w:rsidR="00692D32" w:rsidRPr="00B035EF">
        <w:rPr>
          <w:rFonts w:asciiTheme="minorHAnsi" w:eastAsiaTheme="minorHAnsi" w:hAnsiTheme="minorHAnsi" w:cstheme="minorBidi"/>
          <w:sz w:val="22"/>
          <w:szCs w:val="22"/>
        </w:rPr>
        <w:t>.</w:t>
      </w:r>
      <w:r w:rsidR="00587158">
        <w:rPr>
          <w:rFonts w:asciiTheme="minorHAnsi" w:eastAsiaTheme="minorHAnsi" w:hAnsiTheme="minorHAnsi" w:cstheme="minorBidi"/>
          <w:sz w:val="22"/>
          <w:szCs w:val="22"/>
        </w:rPr>
        <w:t xml:space="preserve">  </w:t>
      </w:r>
      <w:r w:rsidR="00587158">
        <w:t xml:space="preserve">I consider that significant adverse impacts relating to construction and decommissioning stages can be minimised by conditioning the preparation of an updated CTMP and CEMP, the preparation of a full assessment of all structures on the national road network along the haul route and the reinstatement of impacted road surfaces or bridges due to the proposed works and transport of abnormal loads.   </w:t>
      </w:r>
    </w:p>
    <w:p w14:paraId="1E0B7F49" w14:textId="032A7215" w:rsidR="009A18C4" w:rsidRDefault="00392C6D" w:rsidP="0081620A">
      <w:pPr>
        <w:pStyle w:val="BBody1"/>
        <w:numPr>
          <w:ilvl w:val="0"/>
          <w:numId w:val="0"/>
        </w:numPr>
        <w:jc w:val="both"/>
      </w:pPr>
      <w:r>
        <w:t xml:space="preserve">The potential impacts associated with the </w:t>
      </w:r>
      <w:r w:rsidRPr="002C1BF2">
        <w:t>Operational Phase</w:t>
      </w:r>
      <w:r>
        <w:t xml:space="preserve"> are not considered significant.  During times of emergency grid demand when the proposed OCGT is required to be operational, the Proposed Development will generate up to 18 HDV arrivals per day for HVO and other materials and up to 20 LDV arrivals per day for workers. This level of road traffic is unlikely to have a significant impact on the surrounding road network</w:t>
      </w:r>
      <w:r w:rsidR="00486EA1">
        <w:t>.</w:t>
      </w:r>
      <w:r w:rsidR="00674720">
        <w:t xml:space="preserve">  I am satisfied that there will be no significant impacts in relation to traffic during the Operational Phase of the </w:t>
      </w:r>
      <w:r w:rsidR="007368FD">
        <w:t>development due to the small daily traffic flow generation (</w:t>
      </w:r>
      <w:r w:rsidR="00D62B14">
        <w:t>13 no. staff arriving to the Site each day</w:t>
      </w:r>
      <w:r w:rsidR="0050377C">
        <w:t xml:space="preserve"> during normal operating conditions</w:t>
      </w:r>
      <w:r w:rsidR="00D62B14">
        <w:t>)</w:t>
      </w:r>
    </w:p>
    <w:p w14:paraId="4D6D3C11" w14:textId="0DB98AA5" w:rsidR="00577D89" w:rsidRPr="0043127D" w:rsidRDefault="00214902" w:rsidP="00440824">
      <w:pPr>
        <w:pStyle w:val="BBody1"/>
        <w:numPr>
          <w:ilvl w:val="0"/>
          <w:numId w:val="0"/>
        </w:numPr>
        <w:jc w:val="both"/>
      </w:pPr>
      <w:r>
        <w:t xml:space="preserve">The N67 and N69 </w:t>
      </w:r>
      <w:r w:rsidR="00740244">
        <w:t xml:space="preserve">are part of the </w:t>
      </w:r>
      <w:r w:rsidR="00486EA1">
        <w:t>n</w:t>
      </w:r>
      <w:r w:rsidR="00740244">
        <w:t xml:space="preserve">ational road network which has </w:t>
      </w:r>
      <w:r w:rsidR="00392C6D">
        <w:t>capacity to cater for increase in traffic volumes for all phases of development.</w:t>
      </w:r>
      <w:r w:rsidR="00486EA1">
        <w:t xml:space="preserve">  I am satisfied that the additional traffic move</w:t>
      </w:r>
      <w:r w:rsidR="00183087">
        <w:t xml:space="preserve">ments for all phases of development will not give rise to any significant traffic hazards or disruptions along </w:t>
      </w:r>
      <w:r w:rsidR="00E0762D">
        <w:t>any of the roads or junctions.</w:t>
      </w:r>
      <w:r w:rsidR="00674720">
        <w:t xml:space="preserve">  </w:t>
      </w:r>
    </w:p>
    <w:p w14:paraId="5B663F6C" w14:textId="56945A3F" w:rsidR="00440824" w:rsidRPr="00BE2073" w:rsidRDefault="00440824" w:rsidP="00440824">
      <w:pPr>
        <w:pStyle w:val="Heading2"/>
      </w:pPr>
      <w:r w:rsidRPr="00BE2073">
        <w:t>Conclusion:  Direct and Indirect Effects (</w:t>
      </w:r>
      <w:r w:rsidR="009B1FE0">
        <w:t>Traffic and Transport</w:t>
      </w:r>
      <w:r w:rsidRPr="00BE2073">
        <w:t>)</w:t>
      </w:r>
    </w:p>
    <w:p w14:paraId="30747F5F" w14:textId="49712934" w:rsidR="00440824" w:rsidRDefault="006B164F" w:rsidP="00577D89">
      <w:pPr>
        <w:pStyle w:val="BBody1"/>
        <w:numPr>
          <w:ilvl w:val="0"/>
          <w:numId w:val="0"/>
        </w:numPr>
        <w:jc w:val="both"/>
      </w:pPr>
      <w:r>
        <w:t>I have considered the written submissions made in relation to traffic</w:t>
      </w:r>
      <w:r w:rsidR="00E21904">
        <w:t xml:space="preserve"> and transport</w:t>
      </w:r>
      <w:r>
        <w:t xml:space="preserve"> and am satisfied that they have been appropriately addressed in terms of the application and that no significant adverse effect is likely to arise</w:t>
      </w:r>
      <w:r w:rsidR="00AF3187">
        <w:t>, subject to</w:t>
      </w:r>
      <w:r w:rsidR="001C5001">
        <w:t xml:space="preserve"> compliance with </w:t>
      </w:r>
      <w:r w:rsidR="00EB1076">
        <w:t>relevant legislation and guidance,</w:t>
      </w:r>
      <w:r w:rsidR="00AF3187">
        <w:t xml:space="preserve"> </w:t>
      </w:r>
      <w:r w:rsidR="00E651DB">
        <w:t>implementation of the EIAR and final CTMP</w:t>
      </w:r>
      <w:r w:rsidR="00E21904">
        <w:t xml:space="preserve"> </w:t>
      </w:r>
      <w:r w:rsidR="00EB1076">
        <w:lastRenderedPageBreak/>
        <w:t xml:space="preserve">mitigation measures </w:t>
      </w:r>
      <w:r w:rsidR="00120FCB">
        <w:t xml:space="preserve">and monitoring </w:t>
      </w:r>
      <w:r w:rsidR="00E21904">
        <w:t>and</w:t>
      </w:r>
      <w:r w:rsidR="00E651DB">
        <w:t xml:space="preserve"> compliance with recommended conditions</w:t>
      </w:r>
      <w:r w:rsidR="00EE5056">
        <w:t>.  The proposed development will not give rise to any significant residual or cumulative impacts with other developments in the surrounding area.</w:t>
      </w:r>
    </w:p>
    <w:p w14:paraId="1B79CAF3" w14:textId="6F0A7693" w:rsidR="00440824" w:rsidRDefault="00604743" w:rsidP="00440824">
      <w:pPr>
        <w:pStyle w:val="EHead1"/>
      </w:pPr>
      <w:bookmarkStart w:id="54" w:name="_Toc171346794"/>
      <w:r>
        <w:t>Population and Human Health</w:t>
      </w:r>
      <w:bookmarkEnd w:id="54"/>
    </w:p>
    <w:p w14:paraId="0BFC3B02" w14:textId="429B21B7" w:rsidR="00106110" w:rsidRPr="00106110" w:rsidRDefault="00440824" w:rsidP="00106110">
      <w:pPr>
        <w:pStyle w:val="Heading2"/>
      </w:pPr>
      <w:r>
        <w:t>Issues Raised</w:t>
      </w:r>
    </w:p>
    <w:p w14:paraId="7DE4E92C" w14:textId="2D06E6CE" w:rsidR="00440824" w:rsidRPr="004F22F4" w:rsidRDefault="006C7109" w:rsidP="008B6FA1">
      <w:pPr>
        <w:pStyle w:val="BBody1"/>
        <w:numPr>
          <w:ilvl w:val="0"/>
          <w:numId w:val="0"/>
        </w:numPr>
      </w:pPr>
      <w:r>
        <w:t>Issues raised under specific topi</w:t>
      </w:r>
      <w:r w:rsidR="008B6FA1">
        <w:t>c</w:t>
      </w:r>
      <w:r>
        <w:t>s</w:t>
      </w:r>
      <w:r w:rsidR="00617C31">
        <w:t xml:space="preserve"> </w:t>
      </w:r>
      <w:r>
        <w:t xml:space="preserve">have been </w:t>
      </w:r>
      <w:r w:rsidR="008B6FA1">
        <w:t xml:space="preserve">considered under </w:t>
      </w:r>
      <w:r w:rsidR="00D84A15">
        <w:t xml:space="preserve">those </w:t>
      </w:r>
      <w:r w:rsidR="008B6FA1">
        <w:t>Chapters.</w:t>
      </w:r>
    </w:p>
    <w:p w14:paraId="51D23565" w14:textId="77777777" w:rsidR="00440824" w:rsidRDefault="00440824" w:rsidP="002A50A1">
      <w:pPr>
        <w:pStyle w:val="Heading2"/>
      </w:pPr>
      <w:r w:rsidRPr="00302D10">
        <w:t>Context</w:t>
      </w:r>
    </w:p>
    <w:p w14:paraId="085739A3" w14:textId="33106D91" w:rsidR="00440824" w:rsidRDefault="00106110" w:rsidP="002A50A1">
      <w:pPr>
        <w:pStyle w:val="BBody1"/>
        <w:numPr>
          <w:ilvl w:val="0"/>
          <w:numId w:val="0"/>
        </w:numPr>
        <w:jc w:val="both"/>
      </w:pPr>
      <w:r>
        <w:t xml:space="preserve">EIAR Chapter 15 </w:t>
      </w:r>
      <w:r w:rsidR="00267742">
        <w:t>describes the potential effects of the Proposed Development on population and human health</w:t>
      </w:r>
      <w:r>
        <w:t>. The EIAR describes the regulatory and policy framework, the methodology used,</w:t>
      </w:r>
      <w:r w:rsidR="00823927">
        <w:t xml:space="preserve"> baseline</w:t>
      </w:r>
      <w:r w:rsidR="007E344D">
        <w:t xml:space="preserve"> environment,</w:t>
      </w:r>
      <w:r>
        <w:t xml:space="preserve"> p</w:t>
      </w:r>
      <w:r w:rsidR="007E344D">
        <w:t>otential</w:t>
      </w:r>
      <w:r>
        <w:t xml:space="preserve"> and cumulative impacts and residual impacts following mitigation.  </w:t>
      </w:r>
    </w:p>
    <w:p w14:paraId="20585FBB" w14:textId="77777777" w:rsidR="002552AC" w:rsidRDefault="00C764FB" w:rsidP="002552AC">
      <w:pPr>
        <w:pStyle w:val="BBody1"/>
        <w:numPr>
          <w:ilvl w:val="0"/>
          <w:numId w:val="0"/>
        </w:numPr>
        <w:jc w:val="both"/>
      </w:pPr>
      <w:r>
        <w:t>The Chapter provides an assessment of impacts on</w:t>
      </w:r>
      <w:r w:rsidR="002A50A1">
        <w:t xml:space="preserve"> </w:t>
      </w:r>
      <w:r w:rsidR="00857E68">
        <w:t xml:space="preserve">land use, access and severance between </w:t>
      </w:r>
      <w:proofErr w:type="gramStart"/>
      <w:r w:rsidR="00857E68">
        <w:t>local residents</w:t>
      </w:r>
      <w:proofErr w:type="gramEnd"/>
      <w:r w:rsidR="00857E68">
        <w:t xml:space="preserve"> and community resources, economic </w:t>
      </w:r>
      <w:r>
        <w:t>activity</w:t>
      </w:r>
      <w:r w:rsidR="00857E68">
        <w:t xml:space="preserve"> and employment and human health and </w:t>
      </w:r>
      <w:r>
        <w:t>wellbeing</w:t>
      </w:r>
      <w:r w:rsidR="002A50A1">
        <w:t xml:space="preserve">.  </w:t>
      </w:r>
    </w:p>
    <w:p w14:paraId="154AE2CE" w14:textId="037E5390" w:rsidR="00440824" w:rsidRDefault="00440824" w:rsidP="002552AC">
      <w:pPr>
        <w:pStyle w:val="Heading2"/>
      </w:pPr>
      <w:r>
        <w:t>Baseline</w:t>
      </w:r>
    </w:p>
    <w:p w14:paraId="3092E951" w14:textId="58C51974" w:rsidR="008A3CC4" w:rsidRDefault="0063487D" w:rsidP="008A3CC4">
      <w:pPr>
        <w:pStyle w:val="BBody1"/>
        <w:numPr>
          <w:ilvl w:val="0"/>
          <w:numId w:val="0"/>
        </w:numPr>
        <w:jc w:val="both"/>
      </w:pPr>
      <w:r>
        <w:t xml:space="preserve">The study area for the population and human health assessment used for the baseline analysis and assessment comprises the Listowel, Newcastle </w:t>
      </w:r>
      <w:proofErr w:type="gramStart"/>
      <w:r>
        <w:t>West</w:t>
      </w:r>
      <w:proofErr w:type="gramEnd"/>
      <w:r>
        <w:t xml:space="preserve"> and </w:t>
      </w:r>
      <w:proofErr w:type="spellStart"/>
      <w:r>
        <w:t>Kilrush</w:t>
      </w:r>
      <w:proofErr w:type="spellEnd"/>
      <w:r>
        <w:t xml:space="preserve"> Local Electoral Areas (LEAs), as this is where the majority of population and human health effects are likely to occur</w:t>
      </w:r>
      <w:r w:rsidR="007C7F84">
        <w:t xml:space="preserve"> and </w:t>
      </w:r>
      <w:r>
        <w:t xml:space="preserve">employment effects for which the study area is Co. Kerry, Co. Limerick, and Co. Clare. </w:t>
      </w:r>
    </w:p>
    <w:p w14:paraId="138B64B7" w14:textId="1FF5B7A5" w:rsidR="00440824" w:rsidRDefault="00440824" w:rsidP="008A3CC4">
      <w:pPr>
        <w:pStyle w:val="Heading2"/>
      </w:pPr>
      <w:r>
        <w:t>Potential Effects</w:t>
      </w:r>
    </w:p>
    <w:p w14:paraId="65A3838A" w14:textId="5FCE5424" w:rsidR="00440824" w:rsidRPr="00EB28E7" w:rsidRDefault="00440824" w:rsidP="00440824">
      <w:pPr>
        <w:jc w:val="both"/>
        <w:rPr>
          <w:rFonts w:ascii="Arial" w:hAnsi="Arial" w:cs="Arial"/>
          <w:sz w:val="24"/>
          <w:szCs w:val="24"/>
        </w:rPr>
      </w:pPr>
      <w:r w:rsidRPr="00E10034">
        <w:rPr>
          <w:rFonts w:ascii="Arial" w:hAnsi="Arial" w:cs="Arial"/>
          <w:sz w:val="24"/>
          <w:szCs w:val="24"/>
        </w:rPr>
        <w:t xml:space="preserve">Likely significant effects of the development, as identified in the EIAR are summarised in Table </w:t>
      </w:r>
      <w:r>
        <w:rPr>
          <w:rFonts w:ascii="Arial" w:hAnsi="Arial" w:cs="Arial"/>
          <w:sz w:val="24"/>
          <w:szCs w:val="24"/>
        </w:rPr>
        <w:t>1</w:t>
      </w:r>
      <w:r w:rsidR="000F6D0C">
        <w:rPr>
          <w:rFonts w:ascii="Arial" w:hAnsi="Arial" w:cs="Arial"/>
          <w:sz w:val="24"/>
          <w:szCs w:val="24"/>
        </w:rPr>
        <w:t>6</w:t>
      </w:r>
      <w:r w:rsidRPr="00E10034">
        <w:rPr>
          <w:rFonts w:ascii="Arial" w:hAnsi="Arial" w:cs="Arial"/>
          <w:sz w:val="24"/>
          <w:szCs w:val="24"/>
        </w:rPr>
        <w:t>.1 below.</w:t>
      </w:r>
    </w:p>
    <w:tbl>
      <w:tblPr>
        <w:tblStyle w:val="TableGrid"/>
        <w:tblW w:w="0" w:type="auto"/>
        <w:tblLook w:val="04A0" w:firstRow="1" w:lastRow="0" w:firstColumn="1" w:lastColumn="0" w:noHBand="0" w:noVBand="1"/>
      </w:tblPr>
      <w:tblGrid>
        <w:gridCol w:w="9016"/>
      </w:tblGrid>
      <w:tr w:rsidR="00440824" w:rsidRPr="00E10034" w14:paraId="35C7827F" w14:textId="77777777" w:rsidTr="00673FA2">
        <w:tc>
          <w:tcPr>
            <w:tcW w:w="9016" w:type="dxa"/>
            <w:shd w:val="clear" w:color="auto" w:fill="BFBFBF" w:themeFill="background1" w:themeFillShade="BF"/>
          </w:tcPr>
          <w:p w14:paraId="4CFA34C7" w14:textId="62C897D9" w:rsidR="00440824" w:rsidRPr="004003D9" w:rsidRDefault="00440824" w:rsidP="00673FA2">
            <w:pPr>
              <w:tabs>
                <w:tab w:val="center" w:pos="4400"/>
              </w:tabs>
              <w:jc w:val="both"/>
              <w:rPr>
                <w:rFonts w:ascii="Arial" w:hAnsi="Arial" w:cs="Arial"/>
                <w:b/>
                <w:bCs/>
              </w:rPr>
            </w:pPr>
            <w:r w:rsidRPr="004003D9">
              <w:rPr>
                <w:rFonts w:ascii="Arial" w:hAnsi="Arial" w:cs="Arial"/>
                <w:b/>
                <w:bCs/>
              </w:rPr>
              <w:t>Table 1</w:t>
            </w:r>
            <w:r w:rsidR="000F6D0C" w:rsidRPr="004003D9">
              <w:rPr>
                <w:rFonts w:ascii="Arial" w:hAnsi="Arial" w:cs="Arial"/>
                <w:b/>
                <w:bCs/>
              </w:rPr>
              <w:t>6</w:t>
            </w:r>
            <w:r w:rsidRPr="004003D9">
              <w:rPr>
                <w:rFonts w:ascii="Arial" w:hAnsi="Arial" w:cs="Arial"/>
                <w:b/>
                <w:bCs/>
              </w:rPr>
              <w:t>.1:  Summary of Potential Effects (</w:t>
            </w:r>
            <w:r w:rsidR="00F52065" w:rsidRPr="004003D9">
              <w:rPr>
                <w:rFonts w:ascii="Arial" w:hAnsi="Arial" w:cs="Arial"/>
                <w:b/>
                <w:bCs/>
              </w:rPr>
              <w:t>Population and Human Health</w:t>
            </w:r>
            <w:r w:rsidRPr="004003D9">
              <w:rPr>
                <w:rFonts w:ascii="Arial" w:hAnsi="Arial" w:cs="Arial"/>
                <w:b/>
                <w:bCs/>
              </w:rPr>
              <w:t>)</w:t>
            </w:r>
          </w:p>
        </w:tc>
      </w:tr>
      <w:tr w:rsidR="00440824" w:rsidRPr="00E10034" w14:paraId="323C8978" w14:textId="77777777" w:rsidTr="00673FA2">
        <w:tc>
          <w:tcPr>
            <w:tcW w:w="9016" w:type="dxa"/>
            <w:shd w:val="clear" w:color="auto" w:fill="D9D9D9" w:themeFill="background1" w:themeFillShade="D9"/>
          </w:tcPr>
          <w:p w14:paraId="41E61190" w14:textId="77777777" w:rsidR="00440824" w:rsidRPr="004003D9" w:rsidRDefault="00440824" w:rsidP="00673FA2">
            <w:pPr>
              <w:tabs>
                <w:tab w:val="center" w:pos="4400"/>
              </w:tabs>
              <w:jc w:val="both"/>
              <w:rPr>
                <w:rFonts w:ascii="Arial" w:hAnsi="Arial" w:cs="Arial"/>
              </w:rPr>
            </w:pPr>
            <w:r w:rsidRPr="004003D9">
              <w:rPr>
                <w:rFonts w:ascii="Arial" w:hAnsi="Arial" w:cs="Arial"/>
                <w:b/>
                <w:bCs/>
              </w:rPr>
              <w:t>Do Nothing</w:t>
            </w:r>
            <w:r w:rsidRPr="004003D9">
              <w:rPr>
                <w:rFonts w:ascii="Arial" w:hAnsi="Arial" w:cs="Arial"/>
                <w:b/>
                <w:bCs/>
              </w:rPr>
              <w:tab/>
            </w:r>
          </w:p>
        </w:tc>
      </w:tr>
      <w:tr w:rsidR="00440824" w:rsidRPr="00E10034" w14:paraId="62258B4C" w14:textId="77777777" w:rsidTr="00673FA2">
        <w:tc>
          <w:tcPr>
            <w:tcW w:w="9016" w:type="dxa"/>
          </w:tcPr>
          <w:p w14:paraId="5772975C" w14:textId="3F853246" w:rsidR="00440824" w:rsidRPr="004003D9" w:rsidRDefault="003B6B7A" w:rsidP="00C6208E">
            <w:pPr>
              <w:pStyle w:val="ListParagraph"/>
              <w:numPr>
                <w:ilvl w:val="0"/>
                <w:numId w:val="41"/>
              </w:numPr>
              <w:spacing w:after="0" w:line="240" w:lineRule="auto"/>
              <w:jc w:val="both"/>
              <w:rPr>
                <w:sz w:val="22"/>
                <w:szCs w:val="22"/>
              </w:rPr>
            </w:pPr>
            <w:r w:rsidRPr="004003D9">
              <w:rPr>
                <w:sz w:val="22"/>
                <w:szCs w:val="22"/>
              </w:rPr>
              <w:t>The ‘do nothing’ scenario would not result in any significant changes to the baseline population and human health receptors.</w:t>
            </w:r>
          </w:p>
        </w:tc>
      </w:tr>
      <w:tr w:rsidR="00440824" w:rsidRPr="00E10034" w14:paraId="0A551F75" w14:textId="77777777" w:rsidTr="00673FA2">
        <w:tc>
          <w:tcPr>
            <w:tcW w:w="9016" w:type="dxa"/>
            <w:shd w:val="clear" w:color="auto" w:fill="D9D9D9" w:themeFill="background1" w:themeFillShade="D9"/>
          </w:tcPr>
          <w:p w14:paraId="555DCB82" w14:textId="77777777" w:rsidR="00440824" w:rsidRPr="004003D9" w:rsidRDefault="00440824" w:rsidP="00673FA2">
            <w:pPr>
              <w:jc w:val="both"/>
              <w:rPr>
                <w:rFonts w:ascii="Arial" w:hAnsi="Arial" w:cs="Arial"/>
              </w:rPr>
            </w:pPr>
            <w:r w:rsidRPr="004003D9">
              <w:rPr>
                <w:rFonts w:ascii="Arial" w:hAnsi="Arial" w:cs="Arial"/>
                <w:b/>
                <w:bCs/>
              </w:rPr>
              <w:t>Construction</w:t>
            </w:r>
          </w:p>
        </w:tc>
      </w:tr>
      <w:tr w:rsidR="00440824" w:rsidRPr="00E10034" w14:paraId="09EFBA9B" w14:textId="77777777" w:rsidTr="00673FA2">
        <w:tc>
          <w:tcPr>
            <w:tcW w:w="9016" w:type="dxa"/>
          </w:tcPr>
          <w:p w14:paraId="63B079A3" w14:textId="7DEE370D" w:rsidR="00562E48" w:rsidRPr="004003D9" w:rsidRDefault="00CB74FE" w:rsidP="00C6208E">
            <w:pPr>
              <w:pStyle w:val="ListParagraph"/>
              <w:numPr>
                <w:ilvl w:val="0"/>
                <w:numId w:val="41"/>
              </w:numPr>
              <w:spacing w:after="0" w:line="240" w:lineRule="auto"/>
              <w:jc w:val="both"/>
              <w:rPr>
                <w:sz w:val="22"/>
                <w:szCs w:val="22"/>
              </w:rPr>
            </w:pPr>
            <w:r w:rsidRPr="004003D9">
              <w:rPr>
                <w:sz w:val="22"/>
                <w:szCs w:val="22"/>
              </w:rPr>
              <w:lastRenderedPageBreak/>
              <w:t>The construction phase will have a slight positive effect on the local employment workforce. It will also lead to an</w:t>
            </w:r>
            <w:r w:rsidR="00562E48" w:rsidRPr="004003D9">
              <w:rPr>
                <w:sz w:val="22"/>
                <w:szCs w:val="22"/>
              </w:rPr>
              <w:t xml:space="preserve"> undetectable negative effect on severance between the local population and the facilities that they use, during the construction phase, due to the construction traffic accessing the Site. </w:t>
            </w:r>
          </w:p>
          <w:p w14:paraId="6628627E" w14:textId="77777777" w:rsidR="00A61EFC" w:rsidRPr="004003D9" w:rsidRDefault="00562E48" w:rsidP="00C6208E">
            <w:pPr>
              <w:pStyle w:val="ListParagraph"/>
              <w:numPr>
                <w:ilvl w:val="0"/>
                <w:numId w:val="41"/>
              </w:numPr>
              <w:spacing w:after="0" w:line="240" w:lineRule="auto"/>
              <w:jc w:val="both"/>
              <w:rPr>
                <w:sz w:val="22"/>
                <w:szCs w:val="22"/>
              </w:rPr>
            </w:pPr>
            <w:r w:rsidRPr="004003D9">
              <w:rPr>
                <w:sz w:val="22"/>
                <w:szCs w:val="22"/>
              </w:rPr>
              <w:t xml:space="preserve">No impacts were identified on land use during the construction phase. </w:t>
            </w:r>
          </w:p>
          <w:p w14:paraId="7EA48E30" w14:textId="1F0EC765" w:rsidR="00440824" w:rsidRPr="004003D9" w:rsidRDefault="002B7757" w:rsidP="00C6208E">
            <w:pPr>
              <w:pStyle w:val="ListParagraph"/>
              <w:numPr>
                <w:ilvl w:val="0"/>
                <w:numId w:val="41"/>
              </w:numPr>
              <w:spacing w:after="0" w:line="240" w:lineRule="auto"/>
              <w:jc w:val="both"/>
              <w:rPr>
                <w:sz w:val="22"/>
                <w:szCs w:val="22"/>
              </w:rPr>
            </w:pPr>
            <w:r>
              <w:rPr>
                <w:sz w:val="22"/>
                <w:szCs w:val="22"/>
              </w:rPr>
              <w:t>Impacts during</w:t>
            </w:r>
            <w:r w:rsidR="00562E48" w:rsidRPr="004003D9">
              <w:rPr>
                <w:sz w:val="22"/>
                <w:szCs w:val="22"/>
              </w:rPr>
              <w:t xml:space="preserve"> construction and decommissioning: A neutral human health impact on access to open space and nature due to no significant effects expected </w:t>
            </w:r>
            <w:proofErr w:type="gramStart"/>
            <w:r w:rsidR="00562E48" w:rsidRPr="004003D9">
              <w:rPr>
                <w:sz w:val="22"/>
                <w:szCs w:val="22"/>
              </w:rPr>
              <w:t>in regard to</w:t>
            </w:r>
            <w:proofErr w:type="gramEnd"/>
            <w:r w:rsidR="00562E48" w:rsidRPr="004003D9">
              <w:rPr>
                <w:sz w:val="22"/>
                <w:szCs w:val="22"/>
              </w:rPr>
              <w:t xml:space="preserve"> noise, air quality, or traffic. A neutral human health impact on access to healthcare services and other social infrastructure due to no significant effects expected </w:t>
            </w:r>
            <w:proofErr w:type="gramStart"/>
            <w:r w:rsidR="00562E48" w:rsidRPr="004003D9">
              <w:rPr>
                <w:sz w:val="22"/>
                <w:szCs w:val="22"/>
              </w:rPr>
              <w:t>in regard to</w:t>
            </w:r>
            <w:proofErr w:type="gramEnd"/>
            <w:r w:rsidR="00562E48" w:rsidRPr="004003D9">
              <w:rPr>
                <w:sz w:val="22"/>
                <w:szCs w:val="22"/>
              </w:rPr>
              <w:t xml:space="preserve"> traffic and transport. A neutral human health impact on air quality, noise, and neighbourhood amenity due to no significant effects expected </w:t>
            </w:r>
            <w:proofErr w:type="gramStart"/>
            <w:r w:rsidR="00562E48" w:rsidRPr="004003D9">
              <w:rPr>
                <w:sz w:val="22"/>
                <w:szCs w:val="22"/>
              </w:rPr>
              <w:t>in regard to</w:t>
            </w:r>
            <w:proofErr w:type="gramEnd"/>
            <w:r w:rsidR="00562E48" w:rsidRPr="004003D9">
              <w:rPr>
                <w:sz w:val="22"/>
                <w:szCs w:val="22"/>
              </w:rPr>
              <w:t xml:space="preserve"> noise or air quality. A negative human health impact from a climate change perspective. Construction of the Proposed Development will produce greenhouse gas emissions</w:t>
            </w:r>
          </w:p>
        </w:tc>
      </w:tr>
      <w:tr w:rsidR="00440824" w:rsidRPr="00E10034" w14:paraId="5CFF4789" w14:textId="77777777" w:rsidTr="00673FA2">
        <w:tc>
          <w:tcPr>
            <w:tcW w:w="9016" w:type="dxa"/>
            <w:shd w:val="clear" w:color="auto" w:fill="D9D9D9" w:themeFill="background1" w:themeFillShade="D9"/>
          </w:tcPr>
          <w:p w14:paraId="4CD686D4" w14:textId="77777777" w:rsidR="00440824" w:rsidRPr="004003D9" w:rsidRDefault="00440824" w:rsidP="00673FA2">
            <w:pPr>
              <w:jc w:val="both"/>
              <w:rPr>
                <w:rFonts w:ascii="Arial" w:hAnsi="Arial" w:cs="Arial"/>
              </w:rPr>
            </w:pPr>
            <w:r w:rsidRPr="004003D9">
              <w:rPr>
                <w:rFonts w:ascii="Arial" w:hAnsi="Arial" w:cs="Arial"/>
                <w:b/>
                <w:bCs/>
              </w:rPr>
              <w:t>Operational Impacts</w:t>
            </w:r>
          </w:p>
        </w:tc>
      </w:tr>
      <w:tr w:rsidR="00440824" w:rsidRPr="00E10034" w14:paraId="4D8B957B" w14:textId="77777777" w:rsidTr="00673FA2">
        <w:tc>
          <w:tcPr>
            <w:tcW w:w="9016" w:type="dxa"/>
          </w:tcPr>
          <w:p w14:paraId="6DAC515C" w14:textId="23088E6C" w:rsidR="00FC36E7" w:rsidRPr="004003D9" w:rsidRDefault="00FC36E7" w:rsidP="00C6208E">
            <w:pPr>
              <w:pStyle w:val="ListParagraph"/>
              <w:numPr>
                <w:ilvl w:val="0"/>
                <w:numId w:val="42"/>
              </w:numPr>
              <w:spacing w:after="0" w:line="240" w:lineRule="auto"/>
              <w:jc w:val="both"/>
              <w:rPr>
                <w:sz w:val="22"/>
                <w:szCs w:val="22"/>
              </w:rPr>
            </w:pPr>
            <w:r w:rsidRPr="004003D9">
              <w:rPr>
                <w:sz w:val="22"/>
                <w:szCs w:val="22"/>
              </w:rPr>
              <w:t xml:space="preserve">The operational phase will not lead to any impacts </w:t>
            </w:r>
            <w:proofErr w:type="gramStart"/>
            <w:r w:rsidRPr="004003D9">
              <w:rPr>
                <w:sz w:val="22"/>
                <w:szCs w:val="22"/>
              </w:rPr>
              <w:t>in regard to</w:t>
            </w:r>
            <w:proofErr w:type="gramEnd"/>
            <w:r w:rsidRPr="004003D9">
              <w:rPr>
                <w:sz w:val="22"/>
                <w:szCs w:val="22"/>
              </w:rPr>
              <w:t xml:space="preserve"> land use, employment, or severance, mostly because the Proposed Development is planned on a pre-existing site where operations are already occurring. </w:t>
            </w:r>
          </w:p>
          <w:p w14:paraId="5EE33596" w14:textId="451AE5CE" w:rsidR="00440824" w:rsidRPr="002B7757" w:rsidRDefault="001E331D" w:rsidP="002B7757">
            <w:pPr>
              <w:pStyle w:val="ListParagraph"/>
              <w:numPr>
                <w:ilvl w:val="0"/>
                <w:numId w:val="42"/>
              </w:numPr>
              <w:spacing w:after="0" w:line="240" w:lineRule="auto"/>
              <w:jc w:val="both"/>
              <w:rPr>
                <w:sz w:val="22"/>
                <w:szCs w:val="22"/>
              </w:rPr>
            </w:pPr>
            <w:r>
              <w:rPr>
                <w:sz w:val="22"/>
                <w:szCs w:val="22"/>
              </w:rPr>
              <w:t>O</w:t>
            </w:r>
            <w:r w:rsidR="00FC36E7" w:rsidRPr="004003D9">
              <w:rPr>
                <w:sz w:val="22"/>
                <w:szCs w:val="22"/>
              </w:rPr>
              <w:t>perational phase</w:t>
            </w:r>
            <w:r>
              <w:rPr>
                <w:sz w:val="22"/>
                <w:szCs w:val="22"/>
              </w:rPr>
              <w:t xml:space="preserve"> impacts</w:t>
            </w:r>
            <w:r w:rsidR="00FC36E7" w:rsidRPr="004003D9">
              <w:rPr>
                <w:sz w:val="22"/>
                <w:szCs w:val="22"/>
              </w:rPr>
              <w:t xml:space="preserve">: A neutral human health impact on access to open space and nature due to no significant effects expected </w:t>
            </w:r>
            <w:proofErr w:type="gramStart"/>
            <w:r w:rsidR="00FC36E7" w:rsidRPr="004003D9">
              <w:rPr>
                <w:sz w:val="22"/>
                <w:szCs w:val="22"/>
              </w:rPr>
              <w:t>in</w:t>
            </w:r>
            <w:r w:rsidR="006F7EAE" w:rsidRPr="004003D9">
              <w:rPr>
                <w:sz w:val="22"/>
                <w:szCs w:val="22"/>
              </w:rPr>
              <w:t xml:space="preserve"> </w:t>
            </w:r>
            <w:r w:rsidR="00FC36E7" w:rsidRPr="004003D9">
              <w:rPr>
                <w:sz w:val="22"/>
                <w:szCs w:val="22"/>
              </w:rPr>
              <w:t>regard to</w:t>
            </w:r>
            <w:proofErr w:type="gramEnd"/>
            <w:r w:rsidR="00FC36E7" w:rsidRPr="004003D9">
              <w:rPr>
                <w:sz w:val="22"/>
                <w:szCs w:val="22"/>
              </w:rPr>
              <w:t xml:space="preserve"> noise, air quality, or traffic. A neutral human health impact on access to healthcare services and other social infrastructure due to no significant effects expected </w:t>
            </w:r>
            <w:proofErr w:type="gramStart"/>
            <w:r w:rsidR="00FC36E7" w:rsidRPr="004003D9">
              <w:rPr>
                <w:sz w:val="22"/>
                <w:szCs w:val="22"/>
              </w:rPr>
              <w:t>in regard to</w:t>
            </w:r>
            <w:proofErr w:type="gramEnd"/>
            <w:r w:rsidR="00FC36E7" w:rsidRPr="004003D9">
              <w:rPr>
                <w:sz w:val="22"/>
                <w:szCs w:val="22"/>
              </w:rPr>
              <w:t xml:space="preserve"> traffic and transport.</w:t>
            </w:r>
            <w:r w:rsidR="006F7EAE" w:rsidRPr="004003D9">
              <w:rPr>
                <w:sz w:val="22"/>
                <w:szCs w:val="22"/>
              </w:rPr>
              <w:t xml:space="preserve"> </w:t>
            </w:r>
            <w:r w:rsidR="00FC36E7" w:rsidRPr="004003D9">
              <w:rPr>
                <w:sz w:val="22"/>
                <w:szCs w:val="22"/>
              </w:rPr>
              <w:t xml:space="preserve"> A neutral human health impact on air quality, noise, and neighbourhood amenity due to no significant effects expected </w:t>
            </w:r>
            <w:proofErr w:type="gramStart"/>
            <w:r w:rsidR="00FC36E7" w:rsidRPr="004003D9">
              <w:rPr>
                <w:sz w:val="22"/>
                <w:szCs w:val="22"/>
              </w:rPr>
              <w:t>in regard to</w:t>
            </w:r>
            <w:proofErr w:type="gramEnd"/>
            <w:r w:rsidR="00FC36E7" w:rsidRPr="004003D9">
              <w:rPr>
                <w:sz w:val="22"/>
                <w:szCs w:val="22"/>
              </w:rPr>
              <w:t xml:space="preserve"> noise or air quality. </w:t>
            </w:r>
            <w:r w:rsidR="006F7EAE" w:rsidRPr="004003D9">
              <w:rPr>
                <w:sz w:val="22"/>
                <w:szCs w:val="22"/>
              </w:rPr>
              <w:t xml:space="preserve"> </w:t>
            </w:r>
            <w:r w:rsidR="00FC36E7" w:rsidRPr="004003D9">
              <w:rPr>
                <w:sz w:val="22"/>
                <w:szCs w:val="22"/>
              </w:rPr>
              <w:t>A negative human health impact from a climate change perspective. Operation of the Proposed Development will produce greenhouse gas emissions.</w:t>
            </w:r>
          </w:p>
        </w:tc>
      </w:tr>
      <w:tr w:rsidR="00440824" w:rsidRPr="00E10034" w14:paraId="35A46165" w14:textId="77777777" w:rsidTr="00673FA2">
        <w:tc>
          <w:tcPr>
            <w:tcW w:w="9016" w:type="dxa"/>
            <w:shd w:val="clear" w:color="auto" w:fill="D9D9D9" w:themeFill="background1" w:themeFillShade="D9"/>
          </w:tcPr>
          <w:p w14:paraId="7EF26F4A" w14:textId="77777777" w:rsidR="00440824" w:rsidRPr="004003D9" w:rsidRDefault="00440824" w:rsidP="00673FA2">
            <w:pPr>
              <w:jc w:val="both"/>
              <w:rPr>
                <w:rFonts w:ascii="Arial" w:hAnsi="Arial" w:cs="Arial"/>
              </w:rPr>
            </w:pPr>
            <w:r w:rsidRPr="004003D9">
              <w:rPr>
                <w:rFonts w:ascii="Arial" w:hAnsi="Arial" w:cs="Arial"/>
                <w:b/>
                <w:bCs/>
              </w:rPr>
              <w:t>Decommissioning</w:t>
            </w:r>
          </w:p>
        </w:tc>
      </w:tr>
      <w:tr w:rsidR="00440824" w:rsidRPr="00E10034" w14:paraId="72C2FAB3" w14:textId="77777777" w:rsidTr="00673FA2">
        <w:tc>
          <w:tcPr>
            <w:tcW w:w="9016" w:type="dxa"/>
          </w:tcPr>
          <w:p w14:paraId="7E392EBD" w14:textId="1732E7C6" w:rsidR="00440824" w:rsidRPr="004003D9" w:rsidRDefault="0029540D" w:rsidP="00C6208E">
            <w:pPr>
              <w:pStyle w:val="ListParagraph"/>
              <w:numPr>
                <w:ilvl w:val="0"/>
                <w:numId w:val="41"/>
              </w:numPr>
              <w:spacing w:after="0" w:line="240" w:lineRule="auto"/>
              <w:jc w:val="both"/>
              <w:rPr>
                <w:sz w:val="22"/>
                <w:szCs w:val="22"/>
              </w:rPr>
            </w:pPr>
            <w:r w:rsidRPr="004003D9">
              <w:rPr>
                <w:sz w:val="22"/>
                <w:szCs w:val="22"/>
              </w:rPr>
              <w:t>It is expected that decommissioning will take up to one year</w:t>
            </w:r>
            <w:r w:rsidR="00AE1804">
              <w:rPr>
                <w:sz w:val="22"/>
                <w:szCs w:val="22"/>
              </w:rPr>
              <w:t>, with similar impacts to construction phase</w:t>
            </w:r>
            <w:r w:rsidRPr="004003D9">
              <w:rPr>
                <w:sz w:val="22"/>
                <w:szCs w:val="22"/>
              </w:rPr>
              <w:t xml:space="preserve">.  </w:t>
            </w:r>
          </w:p>
        </w:tc>
      </w:tr>
      <w:tr w:rsidR="00440824" w:rsidRPr="00E10034" w14:paraId="726E3DDF" w14:textId="77777777" w:rsidTr="00673FA2">
        <w:tc>
          <w:tcPr>
            <w:tcW w:w="9016" w:type="dxa"/>
            <w:shd w:val="clear" w:color="auto" w:fill="D9D9D9" w:themeFill="background1" w:themeFillShade="D9"/>
          </w:tcPr>
          <w:p w14:paraId="3D18908D" w14:textId="77777777" w:rsidR="00440824" w:rsidRPr="004003D9" w:rsidRDefault="00440824" w:rsidP="00673FA2">
            <w:pPr>
              <w:jc w:val="both"/>
              <w:rPr>
                <w:rFonts w:ascii="Arial" w:hAnsi="Arial" w:cs="Arial"/>
              </w:rPr>
            </w:pPr>
            <w:r w:rsidRPr="002D1698">
              <w:rPr>
                <w:rFonts w:ascii="Arial" w:hAnsi="Arial" w:cs="Arial"/>
                <w:b/>
                <w:bCs/>
              </w:rPr>
              <w:t>Cumulative Impacts</w:t>
            </w:r>
          </w:p>
        </w:tc>
      </w:tr>
      <w:tr w:rsidR="00440824" w:rsidRPr="00E10034" w14:paraId="1C5F7FD5" w14:textId="77777777" w:rsidTr="00673FA2">
        <w:tc>
          <w:tcPr>
            <w:tcW w:w="9016" w:type="dxa"/>
          </w:tcPr>
          <w:p w14:paraId="7F81A730" w14:textId="18F959AE" w:rsidR="00440824" w:rsidRPr="004003D9" w:rsidRDefault="00527C8D" w:rsidP="00C6208E">
            <w:pPr>
              <w:pStyle w:val="ListParagraph"/>
              <w:numPr>
                <w:ilvl w:val="0"/>
                <w:numId w:val="43"/>
              </w:numPr>
              <w:spacing w:after="0" w:line="240" w:lineRule="auto"/>
              <w:jc w:val="both"/>
              <w:rPr>
                <w:sz w:val="22"/>
                <w:szCs w:val="22"/>
              </w:rPr>
            </w:pPr>
            <w:r w:rsidRPr="004003D9">
              <w:rPr>
                <w:sz w:val="22"/>
                <w:szCs w:val="22"/>
              </w:rPr>
              <w:t xml:space="preserve">No cumulative </w:t>
            </w:r>
            <w:r w:rsidR="00231F85" w:rsidRPr="004003D9">
              <w:rPr>
                <w:sz w:val="22"/>
                <w:szCs w:val="22"/>
              </w:rPr>
              <w:t>land use impacts</w:t>
            </w:r>
            <w:r w:rsidR="00FD1D20">
              <w:rPr>
                <w:sz w:val="22"/>
                <w:szCs w:val="22"/>
              </w:rPr>
              <w:t>.</w:t>
            </w:r>
          </w:p>
          <w:p w14:paraId="000C260E" w14:textId="77777777" w:rsidR="00231F85" w:rsidRPr="004003D9" w:rsidRDefault="00231F85" w:rsidP="00C6208E">
            <w:pPr>
              <w:pStyle w:val="ListParagraph"/>
              <w:numPr>
                <w:ilvl w:val="0"/>
                <w:numId w:val="43"/>
              </w:numPr>
              <w:spacing w:after="0" w:line="240" w:lineRule="auto"/>
              <w:jc w:val="both"/>
              <w:rPr>
                <w:sz w:val="22"/>
                <w:szCs w:val="22"/>
              </w:rPr>
            </w:pPr>
            <w:r w:rsidRPr="004003D9">
              <w:rPr>
                <w:sz w:val="22"/>
                <w:szCs w:val="22"/>
              </w:rPr>
              <w:t xml:space="preserve">It is expected that there will be a Slight, </w:t>
            </w:r>
            <w:proofErr w:type="gramStart"/>
            <w:r w:rsidRPr="004003D9">
              <w:rPr>
                <w:sz w:val="22"/>
                <w:szCs w:val="22"/>
              </w:rPr>
              <w:t>Short-Term</w:t>
            </w:r>
            <w:proofErr w:type="gramEnd"/>
            <w:r w:rsidRPr="004003D9">
              <w:rPr>
                <w:sz w:val="22"/>
                <w:szCs w:val="22"/>
              </w:rPr>
              <w:t xml:space="preserve"> and Positive cumulative impact on construction related </w:t>
            </w:r>
            <w:r w:rsidR="00191AF0" w:rsidRPr="004003D9">
              <w:rPr>
                <w:sz w:val="22"/>
                <w:szCs w:val="22"/>
              </w:rPr>
              <w:t>employment within the local area.</w:t>
            </w:r>
          </w:p>
          <w:p w14:paraId="0A488D40" w14:textId="4B2179AC" w:rsidR="00191AF0" w:rsidRPr="004003D9" w:rsidRDefault="00191AF0" w:rsidP="004003D9">
            <w:pPr>
              <w:pStyle w:val="ListParagraph"/>
              <w:numPr>
                <w:ilvl w:val="0"/>
                <w:numId w:val="43"/>
              </w:numPr>
              <w:spacing w:after="0" w:line="240" w:lineRule="auto"/>
              <w:jc w:val="both"/>
              <w:rPr>
                <w:sz w:val="22"/>
                <w:szCs w:val="22"/>
              </w:rPr>
            </w:pPr>
            <w:r w:rsidRPr="004003D9">
              <w:rPr>
                <w:sz w:val="22"/>
                <w:szCs w:val="22"/>
              </w:rPr>
              <w:t xml:space="preserve">There </w:t>
            </w:r>
            <w:proofErr w:type="gramStart"/>
            <w:r w:rsidRPr="004003D9">
              <w:rPr>
                <w:sz w:val="22"/>
                <w:szCs w:val="22"/>
              </w:rPr>
              <w:t>is</w:t>
            </w:r>
            <w:proofErr w:type="gramEnd"/>
            <w:r w:rsidRPr="004003D9">
              <w:rPr>
                <w:sz w:val="22"/>
                <w:szCs w:val="22"/>
              </w:rPr>
              <w:t xml:space="preserve"> no expected cumulative effects on access to open space and nature fr</w:t>
            </w:r>
            <w:r w:rsidR="002D1698">
              <w:rPr>
                <w:sz w:val="22"/>
                <w:szCs w:val="22"/>
              </w:rPr>
              <w:t>o</w:t>
            </w:r>
            <w:r w:rsidRPr="004003D9">
              <w:rPr>
                <w:sz w:val="22"/>
                <w:szCs w:val="22"/>
              </w:rPr>
              <w:t>m a human health perspective.</w:t>
            </w:r>
          </w:p>
        </w:tc>
      </w:tr>
    </w:tbl>
    <w:p w14:paraId="248BC99A" w14:textId="77777777" w:rsidR="00440824" w:rsidRDefault="00440824" w:rsidP="00440824">
      <w:pPr>
        <w:pStyle w:val="Heading2"/>
      </w:pPr>
      <w:r>
        <w:t>Mitigation</w:t>
      </w:r>
    </w:p>
    <w:p w14:paraId="21C1D3B1" w14:textId="031F1E26" w:rsidR="00440824" w:rsidRPr="00680AAF" w:rsidRDefault="00B75789" w:rsidP="004B709B">
      <w:pPr>
        <w:pStyle w:val="BBody1"/>
        <w:numPr>
          <w:ilvl w:val="0"/>
          <w:numId w:val="0"/>
        </w:numPr>
        <w:jc w:val="both"/>
      </w:pPr>
      <w:r>
        <w:t>An</w:t>
      </w:r>
      <w:r w:rsidR="005A2993">
        <w:t xml:space="preserve"> </w:t>
      </w:r>
      <w:r w:rsidR="00A425CA">
        <w:t xml:space="preserve">updated </w:t>
      </w:r>
      <w:r w:rsidR="005A2993">
        <w:t xml:space="preserve">CEMP </w:t>
      </w:r>
      <w:r w:rsidR="00A425CA">
        <w:t>will be prepared by</w:t>
      </w:r>
      <w:r w:rsidR="005A2993">
        <w:t xml:space="preserve"> the appointed Contractor to ensure that there are no impacts on any vector that will pose a risk to human health. No additional mitigation measures are proposed during the operation of the Proposed Development, however mitigation for air quality, noise and vibration, traffic and transport and climate, are discussed in </w:t>
      </w:r>
      <w:r w:rsidR="00961CFE">
        <w:t xml:space="preserve">the </w:t>
      </w:r>
      <w:r w:rsidR="005A2993">
        <w:t>EIAR</w:t>
      </w:r>
      <w:r w:rsidR="00961CFE">
        <w:t xml:space="preserve"> under those specific Chapters</w:t>
      </w:r>
      <w:r>
        <w:t>.</w:t>
      </w:r>
      <w:r w:rsidR="005A2993">
        <w:t xml:space="preserve"> </w:t>
      </w:r>
    </w:p>
    <w:p w14:paraId="23E2F05D" w14:textId="77777777" w:rsidR="00440824" w:rsidRDefault="00440824" w:rsidP="00440824">
      <w:pPr>
        <w:pStyle w:val="Heading2"/>
      </w:pPr>
      <w:r>
        <w:t>Residual Effects</w:t>
      </w:r>
    </w:p>
    <w:p w14:paraId="542BE910" w14:textId="13EB2207" w:rsidR="00440824" w:rsidRPr="00680AAF" w:rsidRDefault="004B709B" w:rsidP="004B709B">
      <w:pPr>
        <w:pStyle w:val="BBody1"/>
        <w:numPr>
          <w:ilvl w:val="0"/>
          <w:numId w:val="0"/>
        </w:numPr>
      </w:pPr>
      <w:r>
        <w:t>No significant residual effects have been identified.</w:t>
      </w:r>
    </w:p>
    <w:p w14:paraId="3398FD61" w14:textId="77777777" w:rsidR="00440824" w:rsidRDefault="00440824" w:rsidP="00440824">
      <w:pPr>
        <w:pStyle w:val="Heading2"/>
      </w:pPr>
      <w:r>
        <w:lastRenderedPageBreak/>
        <w:t>The Assessment:  Direct and Indirect Effects</w:t>
      </w:r>
    </w:p>
    <w:p w14:paraId="6B4BF48A" w14:textId="0F4F1D0E" w:rsidR="00297151" w:rsidRDefault="00297151" w:rsidP="00794902">
      <w:pPr>
        <w:pStyle w:val="BBody1"/>
        <w:numPr>
          <w:ilvl w:val="0"/>
          <w:numId w:val="0"/>
        </w:numPr>
        <w:jc w:val="both"/>
      </w:pPr>
      <w:r>
        <w:t>The</w:t>
      </w:r>
      <w:r w:rsidR="00E401A6">
        <w:t xml:space="preserve"> construction phase will have a </w:t>
      </w:r>
      <w:r w:rsidR="00047FE8">
        <w:t>slight positive impact on local employment based on local construction workers</w:t>
      </w:r>
      <w:r w:rsidR="004662C2">
        <w:t xml:space="preserve">.  </w:t>
      </w:r>
      <w:r w:rsidR="001A121D">
        <w:t xml:space="preserve">In relation to human health during the construction </w:t>
      </w:r>
      <w:r w:rsidR="00683251">
        <w:t xml:space="preserve">and operation </w:t>
      </w:r>
      <w:r w:rsidR="001A121D">
        <w:t>phase</w:t>
      </w:r>
      <w:r w:rsidR="00397B67">
        <w:t>, there will be a neutral health impact on access to open space</w:t>
      </w:r>
      <w:r w:rsidR="003700DB">
        <w:t xml:space="preserve">, access to healthcare services and other social infrastructure, </w:t>
      </w:r>
      <w:r w:rsidR="00497C1C">
        <w:t xml:space="preserve">a neutral impact on air quality, </w:t>
      </w:r>
      <w:proofErr w:type="gramStart"/>
      <w:r w:rsidR="00497C1C">
        <w:t>noise</w:t>
      </w:r>
      <w:proofErr w:type="gramEnd"/>
      <w:r w:rsidR="00497C1C">
        <w:t xml:space="preserve"> and neighbourhood amenity</w:t>
      </w:r>
      <w:r w:rsidR="00511AA6">
        <w:t xml:space="preserve">.  There will be a negative </w:t>
      </w:r>
      <w:r w:rsidR="00794902">
        <w:t xml:space="preserve">impact on climate change </w:t>
      </w:r>
      <w:r w:rsidR="00D75994">
        <w:t xml:space="preserve">during the construction and operational phases </w:t>
      </w:r>
      <w:r w:rsidR="00794902">
        <w:t>due to the production of greenhouse gas emissions</w:t>
      </w:r>
      <w:r w:rsidR="00381B0E">
        <w:t>.</w:t>
      </w:r>
      <w:r w:rsidR="00B71BFF" w:rsidRPr="00B71BFF">
        <w:t xml:space="preserve"> </w:t>
      </w:r>
      <w:r w:rsidR="00B71BFF">
        <w:t xml:space="preserve">The CEMP will ensure that there are no impacts on any vector that will pose a risk to human health.  </w:t>
      </w:r>
      <w:r w:rsidR="0063051A">
        <w:t xml:space="preserve">I consider that this can be dealt with by way of condition.  </w:t>
      </w:r>
    </w:p>
    <w:p w14:paraId="0F3D41AA" w14:textId="600A9F7F" w:rsidR="00440824" w:rsidRPr="0043127D" w:rsidRDefault="00794902" w:rsidP="00440824">
      <w:pPr>
        <w:pStyle w:val="BBody1"/>
        <w:numPr>
          <w:ilvl w:val="0"/>
          <w:numId w:val="0"/>
        </w:numPr>
        <w:jc w:val="both"/>
      </w:pPr>
      <w:r>
        <w:t xml:space="preserve">The operational phase of the development will not lead to any impacts </w:t>
      </w:r>
      <w:r w:rsidR="007A3D20">
        <w:t xml:space="preserve">on </w:t>
      </w:r>
      <w:r w:rsidR="00FB7FC3">
        <w:t xml:space="preserve">land use, </w:t>
      </w:r>
      <w:proofErr w:type="gramStart"/>
      <w:r w:rsidR="00FB7FC3">
        <w:t>employment</w:t>
      </w:r>
      <w:proofErr w:type="gramEnd"/>
      <w:r w:rsidR="00FB7FC3">
        <w:t xml:space="preserve"> or severance</w:t>
      </w:r>
      <w:r w:rsidR="007403E7">
        <w:t xml:space="preserve">.  </w:t>
      </w:r>
      <w:r w:rsidR="00B71BFF">
        <w:t xml:space="preserve">No additional mitigation measures related to Population and Human Health are proposed during the operation </w:t>
      </w:r>
      <w:r w:rsidR="0089241D">
        <w:t>phase,</w:t>
      </w:r>
      <w:r w:rsidR="00B71BFF">
        <w:t xml:space="preserve"> however mitigation for air quality, noise and vibration, traffic and transport and climate are set out elsewhere within the EIAR.</w:t>
      </w:r>
      <w:r w:rsidR="0089241D">
        <w:t xml:space="preserve">  </w:t>
      </w:r>
      <w:r w:rsidR="00A778CA">
        <w:t>No significant cumulative or residual impacts have been identified</w:t>
      </w:r>
      <w:r w:rsidR="002D037C">
        <w:t xml:space="preserve">.  </w:t>
      </w:r>
    </w:p>
    <w:p w14:paraId="3C0CDEEA" w14:textId="1A5F713A" w:rsidR="00440824" w:rsidRPr="00BE2073" w:rsidRDefault="00440824" w:rsidP="00440824">
      <w:pPr>
        <w:pStyle w:val="Heading2"/>
      </w:pPr>
      <w:r w:rsidRPr="00BE2073">
        <w:t>Conclusion:  Direct and Indirect Effects (</w:t>
      </w:r>
      <w:r w:rsidR="00F52065">
        <w:t>Population and Human Health</w:t>
      </w:r>
      <w:r w:rsidRPr="00BE2073">
        <w:t>)</w:t>
      </w:r>
    </w:p>
    <w:p w14:paraId="3C0F2FD9" w14:textId="69206F92" w:rsidR="00D456A6" w:rsidRDefault="007C1557" w:rsidP="00A778CA">
      <w:pPr>
        <w:pStyle w:val="BBody1"/>
        <w:numPr>
          <w:ilvl w:val="0"/>
          <w:numId w:val="0"/>
        </w:numPr>
        <w:jc w:val="both"/>
      </w:pPr>
      <w:r w:rsidRPr="00D750FD">
        <w:t>I am satisfied that the proposed development would not have an adverse impact on Population and Human Health, subject to compliance with relevant legislation and guidance, implementation of the EIAR and final CEMP</w:t>
      </w:r>
      <w:r>
        <w:t xml:space="preserve"> mitigation measures, compliance with recommended conditions and adherence to the terms of the EPA IE Licence (as reviewed and/or amended).  </w:t>
      </w:r>
    </w:p>
    <w:p w14:paraId="25112FA3" w14:textId="1132594E" w:rsidR="00D456A6" w:rsidRDefault="000B5608" w:rsidP="00D456A6">
      <w:pPr>
        <w:pStyle w:val="EHead1"/>
      </w:pPr>
      <w:bookmarkStart w:id="55" w:name="_Toc171346795"/>
      <w:r>
        <w:t>Material Assets</w:t>
      </w:r>
      <w:bookmarkEnd w:id="55"/>
      <w:r>
        <w:t xml:space="preserve"> </w:t>
      </w:r>
    </w:p>
    <w:p w14:paraId="1F5D3604" w14:textId="77777777" w:rsidR="00D456A6" w:rsidRPr="00310A01" w:rsidRDefault="00D456A6" w:rsidP="00D456A6">
      <w:pPr>
        <w:pStyle w:val="Heading2"/>
      </w:pPr>
      <w:r w:rsidRPr="00310A01">
        <w:t>Issues Raised</w:t>
      </w:r>
    </w:p>
    <w:p w14:paraId="55EDFAF6" w14:textId="4ACC8401" w:rsidR="00D456A6" w:rsidRPr="004F22F4" w:rsidRDefault="00310A01" w:rsidP="00BF2467">
      <w:pPr>
        <w:pStyle w:val="BBody1"/>
        <w:numPr>
          <w:ilvl w:val="0"/>
          <w:numId w:val="0"/>
        </w:numPr>
        <w:jc w:val="both"/>
      </w:pPr>
      <w:r w:rsidRPr="00310A01">
        <w:t xml:space="preserve">UÉ requested FI to be sought from the Applicant </w:t>
      </w:r>
      <w:proofErr w:type="gramStart"/>
      <w:r w:rsidRPr="00310A01">
        <w:t>in order to</w:t>
      </w:r>
      <w:proofErr w:type="gramEnd"/>
      <w:r w:rsidRPr="00310A01">
        <w:t xml:space="preserve"> determine the feasibility of connection to the public water/wastewater infrastructure and ensure adequate provision of water and wastewater facilities by submitting a PCE to UÉ, the outcome of which is to be submitted as a response to the FI Request.  UÉ outlined the type of information required to be submitted with the PCE.</w:t>
      </w:r>
      <w:r w:rsidR="00860C55">
        <w:t xml:space="preserve">  </w:t>
      </w:r>
      <w:r w:rsidRPr="00310A01">
        <w:t xml:space="preserve">The applicant has responded to state that a Pre-Connection Enquiry form has been submitted to Uisce </w:t>
      </w:r>
      <w:r w:rsidRPr="00310A01">
        <w:rPr>
          <w:color w:val="212529"/>
          <w:shd w:val="clear" w:color="auto" w:fill="FFFFFF"/>
        </w:rPr>
        <w:t>É</w:t>
      </w:r>
      <w:r w:rsidRPr="00310A01">
        <w:t xml:space="preserve">ireann with the requested information.  The applicant states the proposed development does not </w:t>
      </w:r>
      <w:r w:rsidRPr="00310A01">
        <w:lastRenderedPageBreak/>
        <w:t xml:space="preserve">require a new connection.  It will use the existing connection that previously supplied the Heavy Fuel Oil (HFO) plant on-site.  As acknowledged by Uisce </w:t>
      </w:r>
      <w:r w:rsidRPr="00310A01">
        <w:rPr>
          <w:color w:val="212529"/>
          <w:shd w:val="clear" w:color="auto" w:fill="FFFFFF"/>
        </w:rPr>
        <w:t>É</w:t>
      </w:r>
      <w:r w:rsidRPr="00310A01">
        <w:t>ireann, the water supply requirement for the proposed development will be significantly less than that for the HFO plant.</w:t>
      </w:r>
    </w:p>
    <w:p w14:paraId="25C1A275" w14:textId="77777777" w:rsidR="00D456A6" w:rsidRDefault="00D456A6" w:rsidP="00D456A6">
      <w:pPr>
        <w:pStyle w:val="Heading3"/>
      </w:pPr>
      <w:r w:rsidRPr="00302D10">
        <w:t>Context</w:t>
      </w:r>
    </w:p>
    <w:p w14:paraId="18AA4330" w14:textId="77777777" w:rsidR="00162D80" w:rsidRDefault="001E56B3" w:rsidP="007D0F73">
      <w:pPr>
        <w:pStyle w:val="BBody1"/>
        <w:numPr>
          <w:ilvl w:val="0"/>
          <w:numId w:val="0"/>
        </w:numPr>
        <w:jc w:val="both"/>
      </w:pPr>
      <w:r>
        <w:t xml:space="preserve">EIAR Chapter </w:t>
      </w:r>
      <w:r w:rsidR="00D2601D">
        <w:t>16 has assessed the likely significant effects of the Proposed Development on Material Assets</w:t>
      </w:r>
      <w:r w:rsidR="001342BE">
        <w:t>,</w:t>
      </w:r>
      <w:r w:rsidR="00D2601D">
        <w:t xml:space="preserve"> which </w:t>
      </w:r>
      <w:r w:rsidR="00160BEA">
        <w:t xml:space="preserve">are defined as </w:t>
      </w:r>
      <w:r w:rsidR="00160BEA" w:rsidRPr="00162D80">
        <w:rPr>
          <w:i/>
          <w:iCs/>
        </w:rPr>
        <w:t>‘built services</w:t>
      </w:r>
      <w:r w:rsidR="007D0F73" w:rsidRPr="00162D80">
        <w:rPr>
          <w:i/>
          <w:iCs/>
        </w:rPr>
        <w:t xml:space="preserve"> including </w:t>
      </w:r>
      <w:r w:rsidR="007839FC" w:rsidRPr="00162D80">
        <w:rPr>
          <w:i/>
          <w:iCs/>
        </w:rPr>
        <w:t xml:space="preserve">telecommunications and </w:t>
      </w:r>
      <w:r w:rsidR="007D0F73" w:rsidRPr="00162D80">
        <w:rPr>
          <w:i/>
          <w:iCs/>
        </w:rPr>
        <w:t>u</w:t>
      </w:r>
      <w:r w:rsidR="00160BEA" w:rsidRPr="00162D80">
        <w:rPr>
          <w:i/>
          <w:iCs/>
        </w:rPr>
        <w:t>tility networks such as gas and water and sewerage supply</w:t>
      </w:r>
      <w:r w:rsidR="00F450BD" w:rsidRPr="00162D80">
        <w:rPr>
          <w:i/>
          <w:iCs/>
        </w:rPr>
        <w:t>, waste management and infrastructure (roads and traffic)</w:t>
      </w:r>
      <w:r w:rsidR="007D0F1E">
        <w:t>’</w:t>
      </w:r>
      <w:r w:rsidR="004E5AA5">
        <w:t xml:space="preserve">.  </w:t>
      </w:r>
    </w:p>
    <w:p w14:paraId="10823C59" w14:textId="519A9A28" w:rsidR="00D456A6" w:rsidRPr="004F22F4" w:rsidRDefault="00D2481B" w:rsidP="007D0F73">
      <w:pPr>
        <w:pStyle w:val="BBody1"/>
        <w:numPr>
          <w:ilvl w:val="0"/>
          <w:numId w:val="0"/>
        </w:numPr>
        <w:jc w:val="both"/>
      </w:pPr>
      <w:r>
        <w:t xml:space="preserve">Waste Management is assessed separately in Chapter 18.  </w:t>
      </w:r>
      <w:r w:rsidR="004E5AA5">
        <w:t>The study area is the Site, as well as the surrounding area (within 200m) in relation to land use and the utilities network that could be impacted by the Proposed Development.</w:t>
      </w:r>
      <w:r w:rsidR="00FF6B03">
        <w:t xml:space="preserve">  As the Site is located within the boundary of SSE Tarbert, there </w:t>
      </w:r>
      <w:proofErr w:type="gramStart"/>
      <w:r w:rsidR="00FF6B03">
        <w:t>a number of</w:t>
      </w:r>
      <w:proofErr w:type="gramEnd"/>
      <w:r w:rsidR="00FF6B03">
        <w:t xml:space="preserve"> underground services and existing drainage networks which tr</w:t>
      </w:r>
      <w:r w:rsidR="00162D80">
        <w:t>a</w:t>
      </w:r>
      <w:r w:rsidR="00FF6B03">
        <w:t>verse the Site.</w:t>
      </w:r>
    </w:p>
    <w:p w14:paraId="6F51CDA3" w14:textId="77777777" w:rsidR="00D456A6" w:rsidRDefault="00D456A6" w:rsidP="00D456A6">
      <w:pPr>
        <w:pStyle w:val="Heading3"/>
      </w:pPr>
      <w:r>
        <w:t>Baseline</w:t>
      </w:r>
    </w:p>
    <w:p w14:paraId="304AE5F8" w14:textId="15040958" w:rsidR="00D456A6" w:rsidRPr="004F22F4" w:rsidRDefault="004E5AA5" w:rsidP="004E5AA5">
      <w:pPr>
        <w:pStyle w:val="BBody1"/>
        <w:numPr>
          <w:ilvl w:val="0"/>
          <w:numId w:val="0"/>
        </w:numPr>
        <w:jc w:val="both"/>
      </w:pPr>
      <w:r>
        <w:t xml:space="preserve">There is no specific set of Environmental Impact Assessment guidelines for the assessment of material assets. For this reason, the methodology used to assess the impact on built services is in accordance with </w:t>
      </w:r>
      <w:proofErr w:type="gramStart"/>
      <w:r>
        <w:t>a number of</w:t>
      </w:r>
      <w:proofErr w:type="gramEnd"/>
      <w:r>
        <w:t xml:space="preserve"> best practice guidelines, refer to Section 16.3 of Chapter 16 Material Assets, Volume I of the EIAR.</w:t>
      </w:r>
    </w:p>
    <w:p w14:paraId="44652965" w14:textId="77777777" w:rsidR="00D456A6" w:rsidRDefault="00D456A6" w:rsidP="00D456A6">
      <w:pPr>
        <w:pStyle w:val="Heading2"/>
      </w:pPr>
      <w:r>
        <w:t>Potential Effects</w:t>
      </w:r>
    </w:p>
    <w:p w14:paraId="77F1DA69" w14:textId="324CC6E1" w:rsidR="00D456A6" w:rsidRPr="00EB28E7" w:rsidRDefault="00D456A6" w:rsidP="00D456A6">
      <w:pPr>
        <w:jc w:val="both"/>
        <w:rPr>
          <w:rFonts w:ascii="Arial" w:hAnsi="Arial" w:cs="Arial"/>
          <w:sz w:val="24"/>
          <w:szCs w:val="24"/>
        </w:rPr>
      </w:pPr>
      <w:r w:rsidRPr="00E10034">
        <w:rPr>
          <w:rFonts w:ascii="Arial" w:hAnsi="Arial" w:cs="Arial"/>
          <w:sz w:val="24"/>
          <w:szCs w:val="24"/>
        </w:rPr>
        <w:t xml:space="preserve">Likely significant effects of the development, as identified in the EIAR are summarised in Table </w:t>
      </w:r>
      <w:r>
        <w:rPr>
          <w:rFonts w:ascii="Arial" w:hAnsi="Arial" w:cs="Arial"/>
          <w:sz w:val="24"/>
          <w:szCs w:val="24"/>
        </w:rPr>
        <w:t>1</w:t>
      </w:r>
      <w:r w:rsidR="006F3E71">
        <w:rPr>
          <w:rFonts w:ascii="Arial" w:hAnsi="Arial" w:cs="Arial"/>
          <w:sz w:val="24"/>
          <w:szCs w:val="24"/>
        </w:rPr>
        <w:t>7</w:t>
      </w:r>
      <w:r w:rsidRPr="00E10034">
        <w:rPr>
          <w:rFonts w:ascii="Arial" w:hAnsi="Arial" w:cs="Arial"/>
          <w:sz w:val="24"/>
          <w:szCs w:val="24"/>
        </w:rPr>
        <w:t>.1 below.</w:t>
      </w:r>
    </w:p>
    <w:tbl>
      <w:tblPr>
        <w:tblStyle w:val="TableGrid"/>
        <w:tblW w:w="0" w:type="auto"/>
        <w:tblLook w:val="04A0" w:firstRow="1" w:lastRow="0" w:firstColumn="1" w:lastColumn="0" w:noHBand="0" w:noVBand="1"/>
      </w:tblPr>
      <w:tblGrid>
        <w:gridCol w:w="9016"/>
      </w:tblGrid>
      <w:tr w:rsidR="00D456A6" w:rsidRPr="00E10034" w14:paraId="1696BD1F" w14:textId="77777777" w:rsidTr="00673FA2">
        <w:tc>
          <w:tcPr>
            <w:tcW w:w="9016" w:type="dxa"/>
            <w:shd w:val="clear" w:color="auto" w:fill="BFBFBF" w:themeFill="background1" w:themeFillShade="BF"/>
          </w:tcPr>
          <w:p w14:paraId="1454DC5E" w14:textId="4B0C024F" w:rsidR="00D456A6" w:rsidRPr="00381B0E" w:rsidRDefault="00D456A6" w:rsidP="00673FA2">
            <w:pPr>
              <w:tabs>
                <w:tab w:val="center" w:pos="4400"/>
              </w:tabs>
              <w:jc w:val="both"/>
              <w:rPr>
                <w:rFonts w:ascii="Arial" w:hAnsi="Arial" w:cs="Arial"/>
                <w:b/>
                <w:bCs/>
              </w:rPr>
            </w:pPr>
            <w:r w:rsidRPr="00381B0E">
              <w:rPr>
                <w:rFonts w:ascii="Arial" w:hAnsi="Arial" w:cs="Arial"/>
                <w:b/>
                <w:bCs/>
              </w:rPr>
              <w:t>Table 1</w:t>
            </w:r>
            <w:r w:rsidR="006F3E71" w:rsidRPr="00381B0E">
              <w:rPr>
                <w:rFonts w:ascii="Arial" w:hAnsi="Arial" w:cs="Arial"/>
                <w:b/>
                <w:bCs/>
              </w:rPr>
              <w:t>7</w:t>
            </w:r>
            <w:r w:rsidRPr="00381B0E">
              <w:rPr>
                <w:rFonts w:ascii="Arial" w:hAnsi="Arial" w:cs="Arial"/>
                <w:b/>
                <w:bCs/>
              </w:rPr>
              <w:t>.1:  Summary of Potential Effects (</w:t>
            </w:r>
            <w:r w:rsidR="000B5608" w:rsidRPr="00381B0E">
              <w:rPr>
                <w:rFonts w:ascii="Arial" w:hAnsi="Arial" w:cs="Arial"/>
                <w:b/>
                <w:bCs/>
              </w:rPr>
              <w:t>Material Assets</w:t>
            </w:r>
            <w:r w:rsidRPr="00381B0E">
              <w:rPr>
                <w:rFonts w:ascii="Arial" w:hAnsi="Arial" w:cs="Arial"/>
                <w:b/>
                <w:bCs/>
              </w:rPr>
              <w:t>)</w:t>
            </w:r>
          </w:p>
        </w:tc>
      </w:tr>
      <w:tr w:rsidR="00D456A6" w:rsidRPr="00E10034" w14:paraId="0C21A492" w14:textId="77777777" w:rsidTr="00673FA2">
        <w:tc>
          <w:tcPr>
            <w:tcW w:w="9016" w:type="dxa"/>
            <w:shd w:val="clear" w:color="auto" w:fill="D9D9D9" w:themeFill="background1" w:themeFillShade="D9"/>
          </w:tcPr>
          <w:p w14:paraId="2FE1FFDE" w14:textId="77777777" w:rsidR="00D456A6" w:rsidRPr="00381B0E" w:rsidRDefault="00D456A6" w:rsidP="00673FA2">
            <w:pPr>
              <w:tabs>
                <w:tab w:val="center" w:pos="4400"/>
              </w:tabs>
              <w:jc w:val="both"/>
              <w:rPr>
                <w:rFonts w:ascii="Arial" w:hAnsi="Arial" w:cs="Arial"/>
              </w:rPr>
            </w:pPr>
            <w:r w:rsidRPr="00381B0E">
              <w:rPr>
                <w:rFonts w:ascii="Arial" w:hAnsi="Arial" w:cs="Arial"/>
                <w:b/>
                <w:bCs/>
              </w:rPr>
              <w:t>Do Nothing</w:t>
            </w:r>
            <w:r w:rsidRPr="00381B0E">
              <w:rPr>
                <w:rFonts w:ascii="Arial" w:hAnsi="Arial" w:cs="Arial"/>
                <w:b/>
                <w:bCs/>
              </w:rPr>
              <w:tab/>
            </w:r>
          </w:p>
        </w:tc>
      </w:tr>
      <w:tr w:rsidR="00D456A6" w:rsidRPr="00E10034" w14:paraId="4F461739" w14:textId="77777777" w:rsidTr="00673FA2">
        <w:tc>
          <w:tcPr>
            <w:tcW w:w="9016" w:type="dxa"/>
          </w:tcPr>
          <w:p w14:paraId="445E0B2D" w14:textId="77777777" w:rsidR="00D456A6" w:rsidRPr="00381B0E" w:rsidRDefault="00480DE9" w:rsidP="00C6208E">
            <w:pPr>
              <w:pStyle w:val="ListParagraph"/>
              <w:numPr>
                <w:ilvl w:val="0"/>
                <w:numId w:val="41"/>
              </w:numPr>
              <w:spacing w:after="0" w:line="240" w:lineRule="auto"/>
              <w:jc w:val="both"/>
              <w:rPr>
                <w:sz w:val="22"/>
                <w:szCs w:val="22"/>
              </w:rPr>
            </w:pPr>
            <w:r w:rsidRPr="00381B0E">
              <w:rPr>
                <w:sz w:val="22"/>
                <w:szCs w:val="22"/>
              </w:rPr>
              <w:t xml:space="preserve">In the ‘do nothing’ scenario, the Proposed Development would not be constructed and the proposed operational activities at the site would not commence, and the status quo would remail as it is. There would be no impact </w:t>
            </w:r>
            <w:proofErr w:type="gramStart"/>
            <w:r w:rsidRPr="00381B0E">
              <w:rPr>
                <w:sz w:val="22"/>
                <w:szCs w:val="22"/>
              </w:rPr>
              <w:t>with regard to</w:t>
            </w:r>
            <w:proofErr w:type="gramEnd"/>
            <w:r w:rsidRPr="00381B0E">
              <w:rPr>
                <w:sz w:val="22"/>
                <w:szCs w:val="22"/>
              </w:rPr>
              <w:t xml:space="preserve"> the upgrade and / or connection of utilities proposed as part of the Proposed Development. However, an alternative location/ project would be required to assist Ireland in process of transitioning from a centralised, fossil fuel-based electrical power generation model to a more distributed renewable</w:t>
            </w:r>
            <w:r w:rsidR="00E40D55" w:rsidRPr="00381B0E">
              <w:rPr>
                <w:sz w:val="22"/>
                <w:szCs w:val="22"/>
              </w:rPr>
              <w:t>-</w:t>
            </w:r>
            <w:r w:rsidRPr="00381B0E">
              <w:rPr>
                <w:sz w:val="22"/>
                <w:szCs w:val="22"/>
              </w:rPr>
              <w:t>based generation system.</w:t>
            </w:r>
          </w:p>
          <w:p w14:paraId="01B31C02" w14:textId="29D0EF88" w:rsidR="00DB75D8" w:rsidRPr="00381B0E" w:rsidRDefault="00DB75D8" w:rsidP="00C6208E">
            <w:pPr>
              <w:pStyle w:val="ListParagraph"/>
              <w:numPr>
                <w:ilvl w:val="0"/>
                <w:numId w:val="41"/>
              </w:numPr>
              <w:spacing w:after="0" w:line="240" w:lineRule="auto"/>
              <w:jc w:val="both"/>
              <w:rPr>
                <w:sz w:val="22"/>
                <w:szCs w:val="22"/>
              </w:rPr>
            </w:pPr>
            <w:r w:rsidRPr="00381B0E">
              <w:rPr>
                <w:sz w:val="22"/>
                <w:szCs w:val="22"/>
              </w:rPr>
              <w:t>Under the ‘do nothing’ scenario the Applicant would be unable to generate electrical capacity from the Proposed Development, thus would reduc</w:t>
            </w:r>
            <w:r w:rsidR="00CA57DD">
              <w:rPr>
                <w:sz w:val="22"/>
                <w:szCs w:val="22"/>
              </w:rPr>
              <w:t>e</w:t>
            </w:r>
            <w:r w:rsidRPr="00381B0E">
              <w:rPr>
                <w:sz w:val="22"/>
                <w:szCs w:val="22"/>
              </w:rPr>
              <w:t xml:space="preserve"> security of supply for Ireland. As the existing Tarbert HFO Power Station will no longer operate after </w:t>
            </w:r>
            <w:r w:rsidRPr="00381B0E">
              <w:rPr>
                <w:sz w:val="22"/>
                <w:szCs w:val="22"/>
              </w:rPr>
              <w:lastRenderedPageBreak/>
              <w:t>December 2023. The TEG Plant will remain being operational but only operating for maximum 500 hours per annum</w:t>
            </w:r>
            <w:r w:rsidR="00C60282">
              <w:rPr>
                <w:sz w:val="22"/>
                <w:szCs w:val="22"/>
              </w:rPr>
              <w:t xml:space="preserve">.  </w:t>
            </w:r>
            <w:r w:rsidRPr="00381B0E">
              <w:rPr>
                <w:sz w:val="22"/>
                <w:szCs w:val="22"/>
              </w:rPr>
              <w:t>This will have an impact on the security of electricity supply, increasing the potential risk of demand not being achieved.</w:t>
            </w:r>
          </w:p>
        </w:tc>
      </w:tr>
      <w:tr w:rsidR="00D456A6" w:rsidRPr="00E10034" w14:paraId="4457EB52" w14:textId="77777777" w:rsidTr="00673FA2">
        <w:tc>
          <w:tcPr>
            <w:tcW w:w="9016" w:type="dxa"/>
            <w:shd w:val="clear" w:color="auto" w:fill="D9D9D9" w:themeFill="background1" w:themeFillShade="D9"/>
          </w:tcPr>
          <w:p w14:paraId="4EF5BCC7" w14:textId="77777777" w:rsidR="00D456A6" w:rsidRPr="00381B0E" w:rsidRDefault="00D456A6" w:rsidP="00673FA2">
            <w:pPr>
              <w:jc w:val="both"/>
              <w:rPr>
                <w:rFonts w:ascii="Arial" w:hAnsi="Arial" w:cs="Arial"/>
              </w:rPr>
            </w:pPr>
            <w:r w:rsidRPr="00381B0E">
              <w:rPr>
                <w:rFonts w:ascii="Arial" w:hAnsi="Arial" w:cs="Arial"/>
                <w:b/>
                <w:bCs/>
              </w:rPr>
              <w:lastRenderedPageBreak/>
              <w:t>Construction</w:t>
            </w:r>
          </w:p>
        </w:tc>
      </w:tr>
      <w:tr w:rsidR="00D456A6" w:rsidRPr="00E10034" w14:paraId="136CBE45" w14:textId="77777777" w:rsidTr="00673FA2">
        <w:tc>
          <w:tcPr>
            <w:tcW w:w="9016" w:type="dxa"/>
          </w:tcPr>
          <w:p w14:paraId="540FC5D8" w14:textId="7B7A4D12" w:rsidR="00753463" w:rsidRPr="00381B0E" w:rsidRDefault="00D12A6B" w:rsidP="00C6208E">
            <w:pPr>
              <w:pStyle w:val="ListParagraph"/>
              <w:numPr>
                <w:ilvl w:val="0"/>
                <w:numId w:val="41"/>
              </w:numPr>
              <w:spacing w:after="0" w:line="240" w:lineRule="auto"/>
              <w:jc w:val="both"/>
              <w:rPr>
                <w:sz w:val="22"/>
                <w:szCs w:val="22"/>
              </w:rPr>
            </w:pPr>
            <w:r w:rsidRPr="00381B0E">
              <w:rPr>
                <w:sz w:val="22"/>
                <w:szCs w:val="22"/>
              </w:rPr>
              <w:t>T</w:t>
            </w:r>
            <w:r w:rsidR="00753463" w:rsidRPr="00381B0E">
              <w:rPr>
                <w:sz w:val="22"/>
                <w:szCs w:val="22"/>
              </w:rPr>
              <w:t xml:space="preserve">here is the potential for a limited short outage to </w:t>
            </w:r>
            <w:proofErr w:type="gramStart"/>
            <w:r w:rsidR="00753463" w:rsidRPr="00381B0E">
              <w:rPr>
                <w:sz w:val="22"/>
                <w:szCs w:val="22"/>
              </w:rPr>
              <w:t>a number of</w:t>
            </w:r>
            <w:proofErr w:type="gramEnd"/>
            <w:r w:rsidR="00753463" w:rsidRPr="00381B0E">
              <w:rPr>
                <w:sz w:val="22"/>
                <w:szCs w:val="22"/>
              </w:rPr>
              <w:t xml:space="preserve"> utility networks such as water and electricity, to allow for the new connections associated with the Proposed Development. These outages will be temporary, and the magnitude of impact will be minor. </w:t>
            </w:r>
          </w:p>
          <w:p w14:paraId="49EB6A56" w14:textId="223330C4" w:rsidR="00D456A6" w:rsidRPr="00381B0E" w:rsidRDefault="00D12A6B" w:rsidP="00C6208E">
            <w:pPr>
              <w:pStyle w:val="ListParagraph"/>
              <w:numPr>
                <w:ilvl w:val="0"/>
                <w:numId w:val="41"/>
              </w:numPr>
              <w:spacing w:after="0" w:line="240" w:lineRule="auto"/>
              <w:jc w:val="both"/>
              <w:rPr>
                <w:sz w:val="22"/>
                <w:szCs w:val="22"/>
              </w:rPr>
            </w:pPr>
            <w:r w:rsidRPr="00381B0E">
              <w:rPr>
                <w:sz w:val="22"/>
                <w:szCs w:val="22"/>
              </w:rPr>
              <w:t>A</w:t>
            </w:r>
            <w:r w:rsidR="00753463" w:rsidRPr="00381B0E">
              <w:rPr>
                <w:sz w:val="22"/>
                <w:szCs w:val="22"/>
              </w:rPr>
              <w:t xml:space="preserve"> temporary water supply for construction works will be provided through an existing Irish Water mains connection on-site. There is the potential for a limited short outage of a water supply to allow for this connection. However, this will be temporary, and the magnitude of impact will be minor</w:t>
            </w:r>
            <w:r w:rsidRPr="00381B0E">
              <w:rPr>
                <w:sz w:val="22"/>
                <w:szCs w:val="22"/>
              </w:rPr>
              <w:t>.</w:t>
            </w:r>
          </w:p>
          <w:p w14:paraId="2BA13602" w14:textId="77A1D885" w:rsidR="00D12A6B" w:rsidRPr="00381B0E" w:rsidRDefault="00D12A6B" w:rsidP="00C6208E">
            <w:pPr>
              <w:pStyle w:val="ListParagraph"/>
              <w:numPr>
                <w:ilvl w:val="0"/>
                <w:numId w:val="41"/>
              </w:numPr>
              <w:spacing w:after="0" w:line="240" w:lineRule="auto"/>
              <w:jc w:val="both"/>
              <w:rPr>
                <w:sz w:val="22"/>
                <w:szCs w:val="22"/>
              </w:rPr>
            </w:pPr>
            <w:r w:rsidRPr="00381B0E">
              <w:rPr>
                <w:sz w:val="22"/>
                <w:szCs w:val="22"/>
              </w:rPr>
              <w:t xml:space="preserve">Foul water will be collected and periodically removed from the Site by road tanker, to a licensed water treatment plant. As this control measure will be incorporated into the Site set-up, additional mitigation measures are not required. </w:t>
            </w:r>
          </w:p>
          <w:p w14:paraId="7F33B56F" w14:textId="7DC46313" w:rsidR="00E12755" w:rsidRPr="00381B0E" w:rsidRDefault="00E12755" w:rsidP="00C6208E">
            <w:pPr>
              <w:pStyle w:val="ListParagraph"/>
              <w:numPr>
                <w:ilvl w:val="0"/>
                <w:numId w:val="41"/>
              </w:numPr>
              <w:spacing w:after="0" w:line="240" w:lineRule="auto"/>
              <w:jc w:val="both"/>
              <w:rPr>
                <w:sz w:val="22"/>
                <w:szCs w:val="22"/>
              </w:rPr>
            </w:pPr>
            <w:proofErr w:type="gramStart"/>
            <w:r w:rsidRPr="00381B0E">
              <w:rPr>
                <w:sz w:val="22"/>
                <w:szCs w:val="22"/>
              </w:rPr>
              <w:t>A</w:t>
            </w:r>
            <w:r w:rsidR="00D12A6B" w:rsidRPr="00381B0E">
              <w:rPr>
                <w:sz w:val="22"/>
                <w:szCs w:val="22"/>
              </w:rPr>
              <w:t xml:space="preserve"> number of</w:t>
            </w:r>
            <w:proofErr w:type="gramEnd"/>
            <w:r w:rsidR="00D12A6B" w:rsidRPr="00381B0E">
              <w:rPr>
                <w:sz w:val="22"/>
                <w:szCs w:val="22"/>
              </w:rPr>
              <w:t xml:space="preserve"> construction activities have the potential to release sediment and cause unacceptable sediment levels in the catchment area. Run-off containing large amounts of suspended solids could potentially adversely impact on surface water. The impact </w:t>
            </w:r>
            <w:proofErr w:type="gramStart"/>
            <w:r w:rsidR="00D12A6B" w:rsidRPr="00381B0E">
              <w:rPr>
                <w:sz w:val="22"/>
                <w:szCs w:val="22"/>
              </w:rPr>
              <w:t>is considered to be</w:t>
            </w:r>
            <w:proofErr w:type="gramEnd"/>
            <w:r w:rsidR="00D12A6B" w:rsidRPr="00381B0E">
              <w:rPr>
                <w:sz w:val="22"/>
                <w:szCs w:val="22"/>
              </w:rPr>
              <w:t xml:space="preserve"> negative, should it occur, but will be temporary in duration. </w:t>
            </w:r>
          </w:p>
          <w:p w14:paraId="7BEB7823" w14:textId="6196C178" w:rsidR="00D12A6B" w:rsidRPr="00381B0E" w:rsidRDefault="00E12755" w:rsidP="00C6208E">
            <w:pPr>
              <w:pStyle w:val="ListParagraph"/>
              <w:numPr>
                <w:ilvl w:val="0"/>
                <w:numId w:val="41"/>
              </w:numPr>
              <w:spacing w:after="0" w:line="240" w:lineRule="auto"/>
              <w:jc w:val="both"/>
              <w:rPr>
                <w:sz w:val="22"/>
                <w:szCs w:val="22"/>
              </w:rPr>
            </w:pPr>
            <w:r w:rsidRPr="00381B0E">
              <w:rPr>
                <w:sz w:val="22"/>
                <w:szCs w:val="22"/>
              </w:rPr>
              <w:t>T</w:t>
            </w:r>
            <w:r w:rsidR="00D12A6B" w:rsidRPr="00381B0E">
              <w:rPr>
                <w:sz w:val="22"/>
                <w:szCs w:val="22"/>
              </w:rPr>
              <w:t xml:space="preserve">he Proposed Development will not lead to any impacts </w:t>
            </w:r>
            <w:proofErr w:type="gramStart"/>
            <w:r w:rsidR="00D12A6B" w:rsidRPr="00381B0E">
              <w:rPr>
                <w:sz w:val="22"/>
                <w:szCs w:val="22"/>
              </w:rPr>
              <w:t>in regard to</w:t>
            </w:r>
            <w:proofErr w:type="gramEnd"/>
            <w:r w:rsidR="00D12A6B" w:rsidRPr="00381B0E">
              <w:rPr>
                <w:sz w:val="22"/>
                <w:szCs w:val="22"/>
              </w:rPr>
              <w:t xml:space="preserve"> land use mostly because the Proposed Development is planned on a pre-existing site where operations are already occurring.</w:t>
            </w:r>
          </w:p>
        </w:tc>
      </w:tr>
      <w:tr w:rsidR="00D456A6" w:rsidRPr="00E10034" w14:paraId="28D1741A" w14:textId="77777777" w:rsidTr="00673FA2">
        <w:tc>
          <w:tcPr>
            <w:tcW w:w="9016" w:type="dxa"/>
            <w:shd w:val="clear" w:color="auto" w:fill="D9D9D9" w:themeFill="background1" w:themeFillShade="D9"/>
          </w:tcPr>
          <w:p w14:paraId="4DCC11BE" w14:textId="77777777" w:rsidR="00D456A6" w:rsidRPr="00381B0E" w:rsidRDefault="00D456A6" w:rsidP="00673FA2">
            <w:pPr>
              <w:jc w:val="both"/>
              <w:rPr>
                <w:rFonts w:ascii="Arial" w:hAnsi="Arial" w:cs="Arial"/>
              </w:rPr>
            </w:pPr>
            <w:r w:rsidRPr="00381B0E">
              <w:rPr>
                <w:rFonts w:ascii="Arial" w:hAnsi="Arial" w:cs="Arial"/>
                <w:b/>
                <w:bCs/>
              </w:rPr>
              <w:t>Operational Impacts</w:t>
            </w:r>
          </w:p>
        </w:tc>
      </w:tr>
      <w:tr w:rsidR="00D456A6" w:rsidRPr="00E10034" w14:paraId="07833316" w14:textId="77777777" w:rsidTr="00673FA2">
        <w:tc>
          <w:tcPr>
            <w:tcW w:w="9016" w:type="dxa"/>
          </w:tcPr>
          <w:p w14:paraId="065FC744" w14:textId="2D7AD71E" w:rsidR="00D456A6" w:rsidRPr="00381B0E" w:rsidRDefault="000137A0" w:rsidP="00C6208E">
            <w:pPr>
              <w:pStyle w:val="ListParagraph"/>
              <w:numPr>
                <w:ilvl w:val="0"/>
                <w:numId w:val="42"/>
              </w:numPr>
              <w:spacing w:after="0" w:line="240" w:lineRule="auto"/>
              <w:jc w:val="both"/>
              <w:rPr>
                <w:sz w:val="22"/>
                <w:szCs w:val="22"/>
              </w:rPr>
            </w:pPr>
            <w:r w:rsidRPr="00381B0E">
              <w:rPr>
                <w:sz w:val="22"/>
                <w:szCs w:val="22"/>
              </w:rPr>
              <w:t>The land use on the Site is industrial, as it is associated with the Tarbert Heavy Fuel Oil Power Station. Therefore, there are no potential impacts associated with the change of land use.</w:t>
            </w:r>
          </w:p>
          <w:p w14:paraId="029F0809" w14:textId="23780E76" w:rsidR="00E1724B" w:rsidRPr="00381B0E" w:rsidRDefault="008E25EF" w:rsidP="00C6208E">
            <w:pPr>
              <w:pStyle w:val="ListParagraph"/>
              <w:numPr>
                <w:ilvl w:val="0"/>
                <w:numId w:val="42"/>
              </w:numPr>
              <w:spacing w:after="0" w:line="240" w:lineRule="auto"/>
              <w:jc w:val="both"/>
              <w:rPr>
                <w:sz w:val="22"/>
                <w:szCs w:val="22"/>
              </w:rPr>
            </w:pPr>
            <w:r w:rsidRPr="00381B0E">
              <w:rPr>
                <w:sz w:val="22"/>
                <w:szCs w:val="22"/>
              </w:rPr>
              <w:t xml:space="preserve">The existing substation (electricity) and telecommunications at the Site already exists and only a connection is required. The magnitude of impact will be ‘no change’. </w:t>
            </w:r>
          </w:p>
          <w:p w14:paraId="68F76F38" w14:textId="77777777" w:rsidR="00E1724B" w:rsidRPr="00381B0E" w:rsidRDefault="00E1724B" w:rsidP="00C6208E">
            <w:pPr>
              <w:pStyle w:val="ListParagraph"/>
              <w:numPr>
                <w:ilvl w:val="0"/>
                <w:numId w:val="42"/>
              </w:numPr>
              <w:spacing w:after="0" w:line="240" w:lineRule="auto"/>
              <w:jc w:val="both"/>
              <w:rPr>
                <w:sz w:val="22"/>
                <w:szCs w:val="22"/>
              </w:rPr>
            </w:pPr>
            <w:r w:rsidRPr="00381B0E">
              <w:rPr>
                <w:sz w:val="22"/>
                <w:szCs w:val="22"/>
              </w:rPr>
              <w:t>W</w:t>
            </w:r>
            <w:r w:rsidR="008E25EF" w:rsidRPr="00381B0E">
              <w:rPr>
                <w:sz w:val="22"/>
                <w:szCs w:val="22"/>
              </w:rPr>
              <w:t xml:space="preserve">ater will be supplied to the Site via the existing Irish Water mains connection into the reservoir on the SSE Tarbert site. </w:t>
            </w:r>
          </w:p>
          <w:p w14:paraId="5C2DC367" w14:textId="05C7B38A" w:rsidR="00E1724B" w:rsidRPr="00381B0E" w:rsidRDefault="00E1724B" w:rsidP="00C6208E">
            <w:pPr>
              <w:pStyle w:val="ListParagraph"/>
              <w:numPr>
                <w:ilvl w:val="0"/>
                <w:numId w:val="42"/>
              </w:numPr>
              <w:spacing w:after="0" w:line="240" w:lineRule="auto"/>
              <w:jc w:val="both"/>
              <w:rPr>
                <w:sz w:val="22"/>
                <w:szCs w:val="22"/>
              </w:rPr>
            </w:pPr>
            <w:r w:rsidRPr="00381B0E">
              <w:rPr>
                <w:sz w:val="22"/>
                <w:szCs w:val="22"/>
              </w:rPr>
              <w:t>P</w:t>
            </w:r>
            <w:r w:rsidR="008E25EF" w:rsidRPr="00381B0E">
              <w:rPr>
                <w:sz w:val="22"/>
                <w:szCs w:val="22"/>
              </w:rPr>
              <w:t>rocess wastewater (from the production of demineralised water) will be discharged to the surface water drainage system. This discharge will be regulated and monitored under the Industrial Emissions Licence</w:t>
            </w:r>
            <w:r w:rsidR="00C33579" w:rsidRPr="00381B0E">
              <w:rPr>
                <w:sz w:val="22"/>
                <w:szCs w:val="22"/>
              </w:rPr>
              <w:t xml:space="preserve"> (IEL)</w:t>
            </w:r>
            <w:r w:rsidR="008E25EF" w:rsidRPr="00381B0E">
              <w:rPr>
                <w:sz w:val="22"/>
                <w:szCs w:val="22"/>
              </w:rPr>
              <w:t xml:space="preserve">. </w:t>
            </w:r>
          </w:p>
          <w:p w14:paraId="7E417C15" w14:textId="7F4A2970" w:rsidR="00B0617D" w:rsidRPr="00381B0E" w:rsidRDefault="00E1724B" w:rsidP="00C6208E">
            <w:pPr>
              <w:pStyle w:val="ListParagraph"/>
              <w:numPr>
                <w:ilvl w:val="0"/>
                <w:numId w:val="42"/>
              </w:numPr>
              <w:spacing w:after="0" w:line="240" w:lineRule="auto"/>
              <w:jc w:val="both"/>
              <w:rPr>
                <w:sz w:val="22"/>
                <w:szCs w:val="22"/>
              </w:rPr>
            </w:pPr>
            <w:r w:rsidRPr="00381B0E">
              <w:rPr>
                <w:sz w:val="22"/>
                <w:szCs w:val="22"/>
              </w:rPr>
              <w:t>A</w:t>
            </w:r>
            <w:r w:rsidR="008E25EF" w:rsidRPr="00381B0E">
              <w:rPr>
                <w:sz w:val="22"/>
                <w:szCs w:val="22"/>
              </w:rPr>
              <w:t xml:space="preserve"> foul water holding tank will be provided at the administration / workshop and stores building this will flow northwards into the proposed new wastewater treatment plant. This will discharge into the existing outfall 8/9 to the north of the Site. </w:t>
            </w:r>
          </w:p>
          <w:p w14:paraId="236C2990" w14:textId="1AAA6345" w:rsidR="00D456A6" w:rsidRPr="002B7757" w:rsidRDefault="00B0617D" w:rsidP="002B7757">
            <w:pPr>
              <w:pStyle w:val="ListParagraph"/>
              <w:numPr>
                <w:ilvl w:val="0"/>
                <w:numId w:val="42"/>
              </w:numPr>
              <w:spacing w:after="0" w:line="240" w:lineRule="auto"/>
              <w:jc w:val="both"/>
              <w:rPr>
                <w:sz w:val="22"/>
                <w:szCs w:val="22"/>
              </w:rPr>
            </w:pPr>
            <w:r w:rsidRPr="00381B0E">
              <w:rPr>
                <w:sz w:val="22"/>
                <w:szCs w:val="22"/>
              </w:rPr>
              <w:t>S</w:t>
            </w:r>
            <w:r w:rsidR="008E25EF" w:rsidRPr="00381B0E">
              <w:rPr>
                <w:sz w:val="22"/>
                <w:szCs w:val="22"/>
              </w:rPr>
              <w:t>urface water run-off will be generated from all hard surfaces which are exposed to rainwater or to which water is applied during wash down. This will include all roads, roofs, and other impermeable surfaces. However, surface water is collected by means of the underground drainage network and will pass through an oil interceptor prior to being released, under the terms of the I</w:t>
            </w:r>
            <w:r w:rsidR="00C33579" w:rsidRPr="00381B0E">
              <w:rPr>
                <w:sz w:val="22"/>
                <w:szCs w:val="22"/>
              </w:rPr>
              <w:t>E</w:t>
            </w:r>
            <w:r w:rsidR="008E25EF" w:rsidRPr="00381B0E">
              <w:rPr>
                <w:sz w:val="22"/>
                <w:szCs w:val="22"/>
              </w:rPr>
              <w:t xml:space="preserve"> Licence. The operational phase of the Proposed Development will not lead to any impacts </w:t>
            </w:r>
            <w:proofErr w:type="gramStart"/>
            <w:r w:rsidR="008E25EF" w:rsidRPr="00381B0E">
              <w:rPr>
                <w:sz w:val="22"/>
                <w:szCs w:val="22"/>
              </w:rPr>
              <w:t>in regard to</w:t>
            </w:r>
            <w:proofErr w:type="gramEnd"/>
            <w:r w:rsidR="008E25EF" w:rsidRPr="00381B0E">
              <w:rPr>
                <w:sz w:val="22"/>
                <w:szCs w:val="22"/>
              </w:rPr>
              <w:t xml:space="preserve"> land use mostly because the Proposed Development is planned on a pre-existing site where operations have been occurring.</w:t>
            </w:r>
          </w:p>
        </w:tc>
      </w:tr>
      <w:tr w:rsidR="00D456A6" w:rsidRPr="00E10034" w14:paraId="1FB4984B" w14:textId="77777777" w:rsidTr="00673FA2">
        <w:tc>
          <w:tcPr>
            <w:tcW w:w="9016" w:type="dxa"/>
            <w:shd w:val="clear" w:color="auto" w:fill="D9D9D9" w:themeFill="background1" w:themeFillShade="D9"/>
          </w:tcPr>
          <w:p w14:paraId="4F4B8831" w14:textId="77777777" w:rsidR="00D456A6" w:rsidRPr="00381B0E" w:rsidRDefault="00D456A6" w:rsidP="00673FA2">
            <w:pPr>
              <w:jc w:val="both"/>
              <w:rPr>
                <w:rFonts w:ascii="Arial" w:hAnsi="Arial" w:cs="Arial"/>
              </w:rPr>
            </w:pPr>
            <w:r w:rsidRPr="00381B0E">
              <w:rPr>
                <w:rFonts w:ascii="Arial" w:hAnsi="Arial" w:cs="Arial"/>
                <w:b/>
                <w:bCs/>
              </w:rPr>
              <w:t>Decommissioning</w:t>
            </w:r>
          </w:p>
        </w:tc>
      </w:tr>
      <w:tr w:rsidR="00D456A6" w:rsidRPr="00E10034" w14:paraId="2477D09C" w14:textId="77777777" w:rsidTr="00673FA2">
        <w:tc>
          <w:tcPr>
            <w:tcW w:w="9016" w:type="dxa"/>
          </w:tcPr>
          <w:p w14:paraId="6E433C93" w14:textId="2D43DA63" w:rsidR="00D456A6" w:rsidRPr="00381B0E" w:rsidRDefault="00211DC7" w:rsidP="00C6208E">
            <w:pPr>
              <w:pStyle w:val="ListParagraph"/>
              <w:numPr>
                <w:ilvl w:val="0"/>
                <w:numId w:val="41"/>
              </w:numPr>
              <w:spacing w:after="0" w:line="240" w:lineRule="auto"/>
              <w:jc w:val="both"/>
              <w:rPr>
                <w:sz w:val="22"/>
                <w:szCs w:val="22"/>
              </w:rPr>
            </w:pPr>
            <w:r w:rsidRPr="00381B0E">
              <w:rPr>
                <w:sz w:val="22"/>
                <w:szCs w:val="22"/>
              </w:rPr>
              <w:t xml:space="preserve">A Decommissioning Plan (which will include a Decommissioning Environmental Management Plan (DEMP)) will be prepared and agreed with the EPA as part of the permit surrender process. </w:t>
            </w:r>
            <w:r w:rsidR="00162D80">
              <w:rPr>
                <w:sz w:val="22"/>
                <w:szCs w:val="22"/>
              </w:rPr>
              <w:t xml:space="preserve">Effects </w:t>
            </w:r>
            <w:proofErr w:type="gramStart"/>
            <w:r w:rsidRPr="00381B0E">
              <w:rPr>
                <w:sz w:val="22"/>
                <w:szCs w:val="22"/>
              </w:rPr>
              <w:t>are considered to be</w:t>
            </w:r>
            <w:proofErr w:type="gramEnd"/>
            <w:r w:rsidRPr="00381B0E">
              <w:rPr>
                <w:sz w:val="22"/>
                <w:szCs w:val="22"/>
              </w:rPr>
              <w:t xml:space="preserve"> of a similar nature and duration to those arising from the construction phase</w:t>
            </w:r>
            <w:r w:rsidR="003A24FB">
              <w:rPr>
                <w:sz w:val="22"/>
                <w:szCs w:val="22"/>
              </w:rPr>
              <w:t>.</w:t>
            </w:r>
          </w:p>
        </w:tc>
      </w:tr>
      <w:tr w:rsidR="00D456A6" w:rsidRPr="00E10034" w14:paraId="1BCA74D2" w14:textId="77777777" w:rsidTr="00673FA2">
        <w:tc>
          <w:tcPr>
            <w:tcW w:w="9016" w:type="dxa"/>
            <w:shd w:val="clear" w:color="auto" w:fill="D9D9D9" w:themeFill="background1" w:themeFillShade="D9"/>
          </w:tcPr>
          <w:p w14:paraId="238AB83B" w14:textId="77777777" w:rsidR="00D456A6" w:rsidRPr="00381B0E" w:rsidRDefault="00D456A6" w:rsidP="00673FA2">
            <w:pPr>
              <w:jc w:val="both"/>
              <w:rPr>
                <w:rFonts w:ascii="Arial" w:hAnsi="Arial" w:cs="Arial"/>
              </w:rPr>
            </w:pPr>
            <w:r w:rsidRPr="00381B0E">
              <w:rPr>
                <w:rFonts w:ascii="Arial" w:hAnsi="Arial" w:cs="Arial"/>
                <w:b/>
                <w:bCs/>
              </w:rPr>
              <w:t>Cumulative Impacts</w:t>
            </w:r>
          </w:p>
        </w:tc>
      </w:tr>
      <w:tr w:rsidR="00D456A6" w:rsidRPr="00E10034" w14:paraId="5F5616AF" w14:textId="77777777" w:rsidTr="00673FA2">
        <w:tc>
          <w:tcPr>
            <w:tcW w:w="9016" w:type="dxa"/>
          </w:tcPr>
          <w:p w14:paraId="40F05768" w14:textId="128697F7" w:rsidR="00D456A6" w:rsidRPr="00381B0E" w:rsidRDefault="006A0424" w:rsidP="00C6208E">
            <w:pPr>
              <w:pStyle w:val="ListParagraph"/>
              <w:numPr>
                <w:ilvl w:val="0"/>
                <w:numId w:val="43"/>
              </w:numPr>
              <w:spacing w:after="0" w:line="240" w:lineRule="auto"/>
              <w:jc w:val="both"/>
              <w:rPr>
                <w:sz w:val="22"/>
                <w:szCs w:val="22"/>
              </w:rPr>
            </w:pPr>
            <w:r w:rsidRPr="00381B0E">
              <w:rPr>
                <w:sz w:val="22"/>
                <w:szCs w:val="22"/>
              </w:rPr>
              <w:lastRenderedPageBreak/>
              <w:t>There is a potential for cumulative effects associated with further temporary disruptions to existing utilities and increased demands on existing utilities. However, providing standard best practice control measures are implemented as required on all sites, the cumulative impact will be Not Significant.</w:t>
            </w:r>
          </w:p>
        </w:tc>
      </w:tr>
    </w:tbl>
    <w:p w14:paraId="1823DF1D" w14:textId="77777777" w:rsidR="00D456A6" w:rsidRDefault="00D456A6" w:rsidP="00D456A6">
      <w:pPr>
        <w:pStyle w:val="Heading2"/>
      </w:pPr>
      <w:r>
        <w:t>Mitigation</w:t>
      </w:r>
    </w:p>
    <w:p w14:paraId="45EF5F83" w14:textId="4F763B0D" w:rsidR="00FD14AA" w:rsidRDefault="00920CAD" w:rsidP="00920CAD">
      <w:pPr>
        <w:pStyle w:val="BBody1"/>
        <w:numPr>
          <w:ilvl w:val="0"/>
          <w:numId w:val="0"/>
        </w:numPr>
        <w:jc w:val="both"/>
      </w:pPr>
      <w:r>
        <w:t xml:space="preserve">The </w:t>
      </w:r>
      <w:r w:rsidR="002E1F97">
        <w:t>CEMP</w:t>
      </w:r>
      <w:r>
        <w:t xml:space="preserve"> will be updated by the Contractor in consultation with Kerry County </w:t>
      </w:r>
      <w:proofErr w:type="gramStart"/>
      <w:r>
        <w:t>Council, before</w:t>
      </w:r>
      <w:proofErr w:type="gramEnd"/>
      <w:r>
        <w:t xml:space="preserve"> any construction works commence.</w:t>
      </w:r>
      <w:r w:rsidR="002665DA">
        <w:t xml:space="preserve">  </w:t>
      </w:r>
      <w:r w:rsidR="00FD14AA">
        <w:t>Surface water mitigation measures are outlined in EIAR Volume I Chapter 12 (Water Environment).</w:t>
      </w:r>
    </w:p>
    <w:p w14:paraId="3A3020AB" w14:textId="27477562" w:rsidR="00FD14AA" w:rsidRPr="00680AAF" w:rsidRDefault="00F13C68" w:rsidP="00920CAD">
      <w:pPr>
        <w:pStyle w:val="BBody1"/>
        <w:numPr>
          <w:ilvl w:val="0"/>
          <w:numId w:val="0"/>
        </w:numPr>
        <w:jc w:val="both"/>
      </w:pPr>
      <w:r>
        <w:t xml:space="preserve">During the operational phase, routine maintenance will be carried out in accordance with the maintenance procedures provided by the contractor and manufacturer. </w:t>
      </w:r>
      <w:r w:rsidR="002E1F97">
        <w:t xml:space="preserve"> </w:t>
      </w:r>
      <w:r>
        <w:t>There will be no requirement for additional mitigation measures during the operational phase.</w:t>
      </w:r>
      <w:r w:rsidR="0069429C">
        <w:t xml:space="preserve">  </w:t>
      </w:r>
      <w:r>
        <w:t xml:space="preserve">All material assets after mitigation will have a Neutral or Not Significant residual effect once mitigation measure including those within the CEMP are </w:t>
      </w:r>
      <w:proofErr w:type="gramStart"/>
      <w:r>
        <w:t>taken into account</w:t>
      </w:r>
      <w:proofErr w:type="gramEnd"/>
      <w:r w:rsidR="00FD14AA">
        <w:t>.</w:t>
      </w:r>
    </w:p>
    <w:p w14:paraId="4A6065EA" w14:textId="77777777" w:rsidR="00D456A6" w:rsidRDefault="00D456A6" w:rsidP="00D456A6">
      <w:pPr>
        <w:pStyle w:val="Heading2"/>
      </w:pPr>
      <w:r>
        <w:t>Residual Effects</w:t>
      </w:r>
    </w:p>
    <w:p w14:paraId="6F32A223" w14:textId="4E8A3B9D" w:rsidR="00D456A6" w:rsidRPr="00680AAF" w:rsidRDefault="002665DA" w:rsidP="00F5037A">
      <w:pPr>
        <w:pStyle w:val="BBody1"/>
        <w:numPr>
          <w:ilvl w:val="0"/>
          <w:numId w:val="0"/>
        </w:numPr>
        <w:jc w:val="both"/>
      </w:pPr>
      <w:r>
        <w:t xml:space="preserve">All material assets after mitigation will have a Neutral or Not Significant residual effect once mitigation measure including those within the CEMP are </w:t>
      </w:r>
      <w:proofErr w:type="gramStart"/>
      <w:r>
        <w:t>taken into account</w:t>
      </w:r>
      <w:proofErr w:type="gramEnd"/>
      <w:r>
        <w:t>.</w:t>
      </w:r>
    </w:p>
    <w:p w14:paraId="4DF87C5A" w14:textId="71A26E33" w:rsidR="00BF2467" w:rsidRPr="00FB60A3" w:rsidRDefault="00D456A6" w:rsidP="00BF2467">
      <w:pPr>
        <w:pStyle w:val="Heading2"/>
      </w:pPr>
      <w:r w:rsidRPr="00FB60A3">
        <w:t>The Assessment:  Direct and Indirect Effects</w:t>
      </w:r>
    </w:p>
    <w:p w14:paraId="7CBFAF8D" w14:textId="7B6EECB1" w:rsidR="00FB60A3" w:rsidRDefault="00AC111A" w:rsidP="00252421">
      <w:pPr>
        <w:pStyle w:val="BBody1"/>
        <w:numPr>
          <w:ilvl w:val="0"/>
          <w:numId w:val="0"/>
        </w:numPr>
        <w:jc w:val="both"/>
      </w:pPr>
      <w:r>
        <w:t>There are impacts identified with a change of land use</w:t>
      </w:r>
      <w:r w:rsidR="00B3412E">
        <w:t xml:space="preserve">.  </w:t>
      </w:r>
      <w:r w:rsidR="00CD6D51">
        <w:t xml:space="preserve">During the construction phase, a temporary water supply for construction works will be provided through the existing Irish Water mains connection on-site.  </w:t>
      </w:r>
      <w:r w:rsidR="00B3412E">
        <w:t>The assessment has highlighted that during the construction phase, there is the potential for a limited</w:t>
      </w:r>
      <w:r w:rsidR="00F85280">
        <w:t xml:space="preserve"> temporary </w:t>
      </w:r>
      <w:r w:rsidR="00B3412E">
        <w:t xml:space="preserve">short outage to </w:t>
      </w:r>
      <w:proofErr w:type="gramStart"/>
      <w:r w:rsidR="00B3412E">
        <w:t>a number of</w:t>
      </w:r>
      <w:proofErr w:type="gramEnd"/>
      <w:r w:rsidR="00B3412E">
        <w:t xml:space="preserve"> utility networks such as water and electricity to allow for connections</w:t>
      </w:r>
      <w:r w:rsidR="00F85280">
        <w:t>.</w:t>
      </w:r>
      <w:r w:rsidR="00574539">
        <w:t xml:space="preserve">  For construction phase foul water will be collected and periodically removed from the Site by road tanker</w:t>
      </w:r>
      <w:r w:rsidR="008B1DFC">
        <w:t xml:space="preserve"> to a licenced water treatment plant.  </w:t>
      </w:r>
      <w:r w:rsidR="00562B01">
        <w:t>Construction works have the potential to cause run-off with suspended solids which could impact on surface water</w:t>
      </w:r>
      <w:r w:rsidR="009C3AC3">
        <w:t>.</w:t>
      </w:r>
      <w:r w:rsidR="00BB60AA">
        <w:t xml:space="preserve">  I consider implementation of the mitigation measures contained within the final CEMP will </w:t>
      </w:r>
      <w:r w:rsidR="005D119D">
        <w:t>provide sufficient surface water mitigation measures</w:t>
      </w:r>
      <w:r w:rsidR="00414C4D">
        <w:t>.</w:t>
      </w:r>
    </w:p>
    <w:p w14:paraId="20A5D066" w14:textId="2F782CFD" w:rsidR="009C3AC3" w:rsidRDefault="009C3AC3" w:rsidP="00252421">
      <w:pPr>
        <w:pStyle w:val="BBody1"/>
        <w:numPr>
          <w:ilvl w:val="0"/>
          <w:numId w:val="0"/>
        </w:numPr>
        <w:jc w:val="both"/>
      </w:pPr>
      <w:r>
        <w:t>During operation</w:t>
      </w:r>
      <w:r w:rsidR="00414C4D">
        <w:t xml:space="preserve">, process wastewater from the production of demineralised water will be discharged to the surface water drainage system.  </w:t>
      </w:r>
      <w:r w:rsidR="00175026">
        <w:t>In addition</w:t>
      </w:r>
      <w:r w:rsidR="00493A9A">
        <w:t>,</w:t>
      </w:r>
      <w:r w:rsidR="00175026">
        <w:t xml:space="preserve"> surface water run-off </w:t>
      </w:r>
      <w:r w:rsidR="00D5552E">
        <w:t xml:space="preserve">will be collected in an underground drainage network, which will pass through an </w:t>
      </w:r>
      <w:r w:rsidR="00D5552E">
        <w:lastRenderedPageBreak/>
        <w:t>oil interceptor</w:t>
      </w:r>
      <w:r w:rsidR="00493A9A">
        <w:t xml:space="preserve"> prior to being released under the terms of the IE Licence.  </w:t>
      </w:r>
      <w:r w:rsidR="00847B48">
        <w:t>I am satisfied that t</w:t>
      </w:r>
      <w:r w:rsidR="00414C4D">
        <w:t>h</w:t>
      </w:r>
      <w:r w:rsidR="00493A9A">
        <w:t>es</w:t>
      </w:r>
      <w:r w:rsidR="002357BC">
        <w:t>e discharges of surface water</w:t>
      </w:r>
      <w:r w:rsidR="00414C4D">
        <w:t xml:space="preserve"> will </w:t>
      </w:r>
      <w:r w:rsidR="006F40AD">
        <w:t>be regulated by</w:t>
      </w:r>
      <w:r>
        <w:t xml:space="preserve"> </w:t>
      </w:r>
      <w:r w:rsidR="00847B48">
        <w:t xml:space="preserve">the </w:t>
      </w:r>
      <w:r w:rsidR="00CE3B29">
        <w:t>E</w:t>
      </w:r>
      <w:r w:rsidR="00847B48">
        <w:t>PA IE Licence.</w:t>
      </w:r>
    </w:p>
    <w:p w14:paraId="0C568B37" w14:textId="68779B0E" w:rsidR="00FB60A3" w:rsidRDefault="00CE3B29" w:rsidP="00252421">
      <w:pPr>
        <w:pStyle w:val="BBody1"/>
        <w:numPr>
          <w:ilvl w:val="0"/>
          <w:numId w:val="0"/>
        </w:numPr>
        <w:jc w:val="both"/>
      </w:pPr>
      <w:r>
        <w:t xml:space="preserve">During the operational phase, a foul water holding tank will be </w:t>
      </w:r>
      <w:proofErr w:type="gramStart"/>
      <w:r>
        <w:t xml:space="preserve">provided </w:t>
      </w:r>
      <w:r w:rsidR="00A4022A">
        <w:t xml:space="preserve"> which</w:t>
      </w:r>
      <w:proofErr w:type="gramEnd"/>
      <w:r w:rsidR="00A4022A">
        <w:t xml:space="preserve"> will flow into a proposed new wastewater treatment plant, which will discharge into the existing outfall to the north of the site.</w:t>
      </w:r>
    </w:p>
    <w:p w14:paraId="71E36A53" w14:textId="68CDF66F" w:rsidR="00252421" w:rsidRPr="00FD61B1" w:rsidRDefault="00252421" w:rsidP="00252421">
      <w:pPr>
        <w:pStyle w:val="BBody1"/>
        <w:numPr>
          <w:ilvl w:val="0"/>
          <w:numId w:val="0"/>
        </w:numPr>
        <w:jc w:val="both"/>
      </w:pPr>
      <w:r>
        <w:t xml:space="preserve">In relation to </w:t>
      </w:r>
      <w:r w:rsidRPr="00507D4C">
        <w:t xml:space="preserve">Uisce </w:t>
      </w:r>
      <w:r w:rsidR="006F5539" w:rsidRPr="006B1883">
        <w:t>É</w:t>
      </w:r>
      <w:r w:rsidR="006F5539">
        <w:t>irea</w:t>
      </w:r>
      <w:r w:rsidR="003E67CE">
        <w:t>n</w:t>
      </w:r>
      <w:r w:rsidRPr="00507D4C">
        <w:t>n</w:t>
      </w:r>
      <w:r>
        <w:t xml:space="preserve">’s request for Further Information in relation to the Pre-Connection Enquiry Form (PCE), </w:t>
      </w:r>
      <w:r w:rsidRPr="0069694F">
        <w:t>I note that the applicant</w:t>
      </w:r>
      <w:r>
        <w:t>s</w:t>
      </w:r>
      <w:r w:rsidRPr="0069694F">
        <w:t xml:space="preserve"> ha</w:t>
      </w:r>
      <w:r>
        <w:t>ve</w:t>
      </w:r>
      <w:r w:rsidRPr="0069694F">
        <w:t xml:space="preserve"> submitted a Pre-Connection Enquiry (PCE) form to UÉ, which has included the Further Information that was requested.  I consider that based on the proposed OCGT developments use of the existing connection that previously supplied the Heavy Fuel Oil (HFO) plant on-site, which will be decommissioned and that the water requirements will be significantly less than that for the HFO plant,</w:t>
      </w:r>
      <w:r>
        <w:t xml:space="preserve"> that significant adverse effects are unlikely and </w:t>
      </w:r>
      <w:r w:rsidRPr="0069694F">
        <w:t>that</w:t>
      </w:r>
      <w:r w:rsidR="00820232">
        <w:t>, should the Board consider it appropriate to grant planning permission</w:t>
      </w:r>
      <w:r w:rsidR="00475774">
        <w:t>,</w:t>
      </w:r>
      <w:r w:rsidR="0050026C">
        <w:t xml:space="preserve"> </w:t>
      </w:r>
      <w:r w:rsidRPr="0069694F">
        <w:t>the PCE can be conditioned in relation to the requirements of UÉ</w:t>
      </w:r>
      <w:r>
        <w:t xml:space="preserve">.  </w:t>
      </w:r>
    </w:p>
    <w:p w14:paraId="30C5D388" w14:textId="3E8039CC" w:rsidR="005A02B1" w:rsidRDefault="00252421" w:rsidP="00D456A6">
      <w:pPr>
        <w:pStyle w:val="BBody1"/>
        <w:numPr>
          <w:ilvl w:val="0"/>
          <w:numId w:val="0"/>
        </w:numPr>
        <w:jc w:val="both"/>
      </w:pPr>
      <w:r>
        <w:t xml:space="preserve">I consider the requirements in relation to water will be significantly less than that for the existing HFO plant, which will be decommissioned shortly.  In relation to the request by UE </w:t>
      </w:r>
      <w:r w:rsidRPr="0022240F">
        <w:t>for Further Information in relation to the PCE, I consider that</w:t>
      </w:r>
      <w:r>
        <w:t xml:space="preserve"> due to the requirements and impacts being less for the proposed development than the existing HFO and that fact that a new connection is not being requested</w:t>
      </w:r>
      <w:r w:rsidR="00D70F44">
        <w:t xml:space="preserve"> by the applicant</w:t>
      </w:r>
      <w:r>
        <w:t xml:space="preserve">, that </w:t>
      </w:r>
      <w:r w:rsidRPr="0022240F">
        <w:t>this</w:t>
      </w:r>
      <w:r>
        <w:t xml:space="preserve"> matter</w:t>
      </w:r>
      <w:r w:rsidRPr="0022240F">
        <w:t xml:space="preserve"> can be dealt with by way of </w:t>
      </w:r>
      <w:r>
        <w:t xml:space="preserve">a </w:t>
      </w:r>
      <w:r w:rsidRPr="0022240F">
        <w:t>condition</w:t>
      </w:r>
      <w:r>
        <w:t xml:space="preserve"> to comply with the requirements of Uisce </w:t>
      </w:r>
      <w:r w:rsidRPr="00507D4C">
        <w:rPr>
          <w:color w:val="212529"/>
          <w:shd w:val="clear" w:color="auto" w:fill="FFFFFF"/>
        </w:rPr>
        <w:t>É</w:t>
      </w:r>
      <w:r w:rsidRPr="00507D4C">
        <w:t>ireann</w:t>
      </w:r>
      <w:r>
        <w:t xml:space="preserve">.    </w:t>
      </w:r>
    </w:p>
    <w:p w14:paraId="40D6DF9D" w14:textId="10B96CDA" w:rsidR="00D456A6" w:rsidRPr="00DB74C6" w:rsidRDefault="00D456A6" w:rsidP="00D456A6">
      <w:pPr>
        <w:pStyle w:val="Heading2"/>
      </w:pPr>
      <w:r w:rsidRPr="00DB74C6">
        <w:t>Conclusion:  Direct and Indirect Effects (</w:t>
      </w:r>
      <w:r w:rsidR="000B5608" w:rsidRPr="00DB74C6">
        <w:t>Material Assets</w:t>
      </w:r>
      <w:r w:rsidRPr="00DB74C6">
        <w:t>)</w:t>
      </w:r>
    </w:p>
    <w:p w14:paraId="5854356B" w14:textId="3C55CA95" w:rsidR="00D456A6" w:rsidRDefault="00A37809" w:rsidP="00C541C9">
      <w:pPr>
        <w:pStyle w:val="DBodyNonum"/>
      </w:pPr>
      <w:r>
        <w:t>I am satisfied that there would be no significant adverse impacts in relation to Material Assets</w:t>
      </w:r>
      <w:r w:rsidR="00DB74C6">
        <w:t xml:space="preserve"> </w:t>
      </w:r>
      <w:r>
        <w:t xml:space="preserve">subject to compliance with </w:t>
      </w:r>
      <w:r w:rsidR="00DE7626">
        <w:t xml:space="preserve">recommended conditions, </w:t>
      </w:r>
      <w:r>
        <w:t xml:space="preserve">relevant legislation, implementation of the EIAR and final CEMP mitigation measures and compliance with the EPA IE Licence requirements for the facility </w:t>
      </w:r>
      <w:r w:rsidR="007A774D">
        <w:t>(</w:t>
      </w:r>
      <w:r>
        <w:t>as reviewed and/or amended).</w:t>
      </w:r>
    </w:p>
    <w:p w14:paraId="4D029181" w14:textId="49242FA2" w:rsidR="00D456A6" w:rsidRDefault="00FD3A01" w:rsidP="00D456A6">
      <w:pPr>
        <w:pStyle w:val="EHead1"/>
      </w:pPr>
      <w:bookmarkStart w:id="56" w:name="_Toc171346796"/>
      <w:r>
        <w:lastRenderedPageBreak/>
        <w:t>Climate</w:t>
      </w:r>
      <w:bookmarkEnd w:id="56"/>
    </w:p>
    <w:p w14:paraId="7694CF30" w14:textId="77777777" w:rsidR="00D456A6" w:rsidRPr="0000401F" w:rsidRDefault="00D456A6" w:rsidP="00D456A6">
      <w:pPr>
        <w:pStyle w:val="Heading2"/>
      </w:pPr>
      <w:r w:rsidRPr="0000401F">
        <w:t>Issues Raised</w:t>
      </w:r>
    </w:p>
    <w:p w14:paraId="45DD66AA" w14:textId="191A063B" w:rsidR="00D456A6" w:rsidRPr="004F22F4" w:rsidRDefault="0000401F" w:rsidP="007B5497">
      <w:pPr>
        <w:pStyle w:val="BBody1"/>
        <w:numPr>
          <w:ilvl w:val="0"/>
          <w:numId w:val="0"/>
        </w:numPr>
        <w:jc w:val="both"/>
      </w:pPr>
      <w:r>
        <w:t>The HSE</w:t>
      </w:r>
      <w:r w:rsidR="005A7DEA">
        <w:t xml:space="preserve"> </w:t>
      </w:r>
      <w:r w:rsidR="00D324F6">
        <w:t>recommends that proposed development aim</w:t>
      </w:r>
      <w:r w:rsidR="00E624B6">
        <w:t>s</w:t>
      </w:r>
      <w:r w:rsidR="00D324F6">
        <w:t xml:space="preserve"> to minimise GHG emissions by supporting active travel for staff to and from the site, the utilisation of </w:t>
      </w:r>
      <w:r w:rsidR="007B5497">
        <w:t>zero or near zero emission vehicles during all phases, the harvesting of rainwater and the incorporation of renewable energy sources into the proposed development.</w:t>
      </w:r>
      <w:r w:rsidR="007165E2">
        <w:t xml:space="preserve">  In terms of adaptation, the NEHS recommends </w:t>
      </w:r>
      <w:r w:rsidR="00625B24">
        <w:t xml:space="preserve">that proposed development go beyond </w:t>
      </w:r>
      <w:r w:rsidR="00A92F27">
        <w:t>the adaptation/resilience focus on flood defence and seek ways to development health promotion opportunities</w:t>
      </w:r>
      <w:r w:rsidR="00690C52">
        <w:t xml:space="preserve"> (e.g. green/blue spaces to provide shade and mental health co-benefits for staff and the local community)</w:t>
      </w:r>
      <w:r w:rsidR="00830548">
        <w:t>.</w:t>
      </w:r>
    </w:p>
    <w:p w14:paraId="59B855E8" w14:textId="77777777" w:rsidR="00D456A6" w:rsidRDefault="00D456A6" w:rsidP="001342BE">
      <w:pPr>
        <w:pStyle w:val="Heading2"/>
      </w:pPr>
      <w:r w:rsidRPr="00302D10">
        <w:t>Context</w:t>
      </w:r>
    </w:p>
    <w:p w14:paraId="619C7EB0" w14:textId="46A3ADE2" w:rsidR="004B14CE" w:rsidRPr="004F22F4" w:rsidRDefault="001342BE" w:rsidP="001342BE">
      <w:pPr>
        <w:pStyle w:val="BBody1"/>
        <w:numPr>
          <w:ilvl w:val="0"/>
          <w:numId w:val="0"/>
        </w:numPr>
        <w:jc w:val="both"/>
      </w:pPr>
      <w:r>
        <w:t>EIAR Chapter 17</w:t>
      </w:r>
      <w:r w:rsidR="00E97A07">
        <w:t xml:space="preserve"> </w:t>
      </w:r>
      <w:r w:rsidR="00491855">
        <w:t>with</w:t>
      </w:r>
      <w:r w:rsidR="00E97A07">
        <w:t xml:space="preserve"> </w:t>
      </w:r>
      <w:r w:rsidR="00491855">
        <w:t xml:space="preserve">Appendix 17A (CCRA Risk Register) </w:t>
      </w:r>
      <w:r w:rsidR="00B35EDC">
        <w:t xml:space="preserve">considers the impact of the Proposed Development on the climate </w:t>
      </w:r>
      <w:proofErr w:type="gramStart"/>
      <w:r w:rsidR="00B35EDC">
        <w:t>as a result of</w:t>
      </w:r>
      <w:proofErr w:type="gramEnd"/>
      <w:r w:rsidR="00B35EDC">
        <w:t xml:space="preserve"> greenhouse gas emissions that may arise during all phases of development</w:t>
      </w:r>
      <w:r>
        <w:t>.</w:t>
      </w:r>
      <w:r w:rsidR="00F71A43">
        <w:t xml:space="preserve">  </w:t>
      </w:r>
      <w:r w:rsidR="004B14CE">
        <w:t xml:space="preserve">The EIAR describes the regulatory and policy framework, the methodology used, </w:t>
      </w:r>
      <w:r w:rsidR="003B37FC">
        <w:t xml:space="preserve">the baseline and projected environment, </w:t>
      </w:r>
      <w:r w:rsidR="004B14CE">
        <w:t>p</w:t>
      </w:r>
      <w:r w:rsidR="003B37FC">
        <w:t>otential</w:t>
      </w:r>
      <w:r w:rsidR="004B14CE">
        <w:t xml:space="preserve"> and cumulative impacts and residual impacts following mitigation.  </w:t>
      </w:r>
    </w:p>
    <w:p w14:paraId="02E59C10" w14:textId="77777777" w:rsidR="00D456A6" w:rsidRDefault="00D456A6" w:rsidP="001342BE">
      <w:pPr>
        <w:pStyle w:val="Heading2"/>
      </w:pPr>
      <w:r>
        <w:t>Baseline</w:t>
      </w:r>
    </w:p>
    <w:p w14:paraId="3DA0CBF5" w14:textId="7CD4D5DD" w:rsidR="00D456A6" w:rsidRDefault="000D3282" w:rsidP="006B1713">
      <w:pPr>
        <w:pStyle w:val="BBody1"/>
        <w:numPr>
          <w:ilvl w:val="0"/>
          <w:numId w:val="0"/>
        </w:numPr>
        <w:jc w:val="both"/>
      </w:pPr>
      <w:r>
        <w:t>The methodology in this chapter has been developed in line with appropriate industry guidance for assessing climate change resilience and adaptation such as IEMA’s EIA Guide to Climate Change Resilience and Adaptation and in accordance with the EU Commission Notice (2021/C 373/01) Technical guidance on the climate proofing of infrastructure in the period 2021-2027.</w:t>
      </w:r>
      <w:r w:rsidR="000E1B34">
        <w:t xml:space="preserve">  The assessment includes all infrastructure and assets associated with the Proposed Development. It assesses the resilience against both gradual climate change i.e., chronic climate-related hazards and the risks associated with an increased frequency of severe weather events i.e., acute events</w:t>
      </w:r>
      <w:r w:rsidR="000D5A3C">
        <w:t>.</w:t>
      </w:r>
    </w:p>
    <w:p w14:paraId="604F4B93" w14:textId="0BE91CBC" w:rsidR="000D5A3C" w:rsidRDefault="000D5A3C" w:rsidP="006B1713">
      <w:pPr>
        <w:pStyle w:val="BBody1"/>
        <w:numPr>
          <w:ilvl w:val="0"/>
          <w:numId w:val="0"/>
        </w:numPr>
        <w:jc w:val="both"/>
      </w:pPr>
      <w:r>
        <w:t>For the purposes of the CCR assessment, the baseline conditions are based upon historic climate change data. This data was obtained from Met Éireann</w:t>
      </w:r>
      <w:r w:rsidR="00677AAD">
        <w:t>.</w:t>
      </w:r>
    </w:p>
    <w:p w14:paraId="64E9D8E8" w14:textId="3980592B" w:rsidR="00677AAD" w:rsidRPr="004F22F4" w:rsidRDefault="00677AAD" w:rsidP="006B1713">
      <w:pPr>
        <w:pStyle w:val="BBody1"/>
        <w:numPr>
          <w:ilvl w:val="0"/>
          <w:numId w:val="0"/>
        </w:numPr>
        <w:jc w:val="both"/>
      </w:pPr>
      <w:r>
        <w:lastRenderedPageBreak/>
        <w:t xml:space="preserve">The study area for the </w:t>
      </w:r>
      <w:r w:rsidR="00FE604F">
        <w:t xml:space="preserve">(Greenhouse Gas Assessment) </w:t>
      </w:r>
      <w:r>
        <w:t>GHG assessment, considers all direct and indirect GHG emissions that may arise from the construction, operation, and decommissioning of the Proposed Development. This includes direct emissions arising onsite e.g., from the combustion of fuel used in construction plant as well as indirect emissions from activities offsite that are sufficiently linked to the Proposed Development, such as transport of materials, waste and workers and embedded carbon in construction materials and products.</w:t>
      </w:r>
    </w:p>
    <w:p w14:paraId="5CBD4E0C" w14:textId="77777777" w:rsidR="00D456A6" w:rsidRDefault="00D456A6" w:rsidP="00D456A6">
      <w:pPr>
        <w:pStyle w:val="Heading2"/>
      </w:pPr>
      <w:r>
        <w:t>Potential Effects</w:t>
      </w:r>
    </w:p>
    <w:p w14:paraId="6567FD3F" w14:textId="445FB6F0" w:rsidR="00D456A6" w:rsidRPr="00EB28E7" w:rsidRDefault="00D456A6" w:rsidP="00D456A6">
      <w:pPr>
        <w:jc w:val="both"/>
        <w:rPr>
          <w:rFonts w:ascii="Arial" w:hAnsi="Arial" w:cs="Arial"/>
          <w:sz w:val="24"/>
          <w:szCs w:val="24"/>
        </w:rPr>
      </w:pPr>
      <w:r w:rsidRPr="00E10034">
        <w:rPr>
          <w:rFonts w:ascii="Arial" w:hAnsi="Arial" w:cs="Arial"/>
          <w:sz w:val="24"/>
          <w:szCs w:val="24"/>
        </w:rPr>
        <w:t xml:space="preserve">Likely significant effects of the development, as identified in the EIAR are summarised in Table </w:t>
      </w:r>
      <w:proofErr w:type="gramStart"/>
      <w:r>
        <w:rPr>
          <w:rFonts w:ascii="Arial" w:hAnsi="Arial" w:cs="Arial"/>
          <w:sz w:val="24"/>
          <w:szCs w:val="24"/>
        </w:rPr>
        <w:t>1</w:t>
      </w:r>
      <w:r w:rsidR="006F3E71">
        <w:rPr>
          <w:rFonts w:ascii="Arial" w:hAnsi="Arial" w:cs="Arial"/>
          <w:sz w:val="24"/>
          <w:szCs w:val="24"/>
        </w:rPr>
        <w:t>8</w:t>
      </w:r>
      <w:r w:rsidRPr="00E10034">
        <w:rPr>
          <w:rFonts w:ascii="Arial" w:hAnsi="Arial" w:cs="Arial"/>
          <w:sz w:val="24"/>
          <w:szCs w:val="24"/>
        </w:rPr>
        <w:t>.1</w:t>
      </w:r>
      <w:r w:rsidR="00891108">
        <w:rPr>
          <w:rFonts w:ascii="Arial" w:hAnsi="Arial" w:cs="Arial"/>
          <w:sz w:val="24"/>
          <w:szCs w:val="24"/>
        </w:rPr>
        <w:t>;</w:t>
      </w:r>
      <w:proofErr w:type="gramEnd"/>
    </w:p>
    <w:tbl>
      <w:tblPr>
        <w:tblStyle w:val="TableGrid"/>
        <w:tblW w:w="0" w:type="auto"/>
        <w:tblLook w:val="04A0" w:firstRow="1" w:lastRow="0" w:firstColumn="1" w:lastColumn="0" w:noHBand="0" w:noVBand="1"/>
      </w:tblPr>
      <w:tblGrid>
        <w:gridCol w:w="9016"/>
      </w:tblGrid>
      <w:tr w:rsidR="00D456A6" w:rsidRPr="00E10034" w14:paraId="6A920262" w14:textId="77777777" w:rsidTr="00673FA2">
        <w:tc>
          <w:tcPr>
            <w:tcW w:w="9016" w:type="dxa"/>
            <w:shd w:val="clear" w:color="auto" w:fill="BFBFBF" w:themeFill="background1" w:themeFillShade="BF"/>
          </w:tcPr>
          <w:p w14:paraId="616B4063" w14:textId="75F91073" w:rsidR="00D456A6" w:rsidRPr="00BA491C" w:rsidRDefault="00D456A6" w:rsidP="00673FA2">
            <w:pPr>
              <w:tabs>
                <w:tab w:val="center" w:pos="4400"/>
              </w:tabs>
              <w:jc w:val="both"/>
              <w:rPr>
                <w:rFonts w:ascii="Arial" w:hAnsi="Arial" w:cs="Arial"/>
                <w:b/>
                <w:bCs/>
              </w:rPr>
            </w:pPr>
            <w:r w:rsidRPr="00BA491C">
              <w:rPr>
                <w:rFonts w:ascii="Arial" w:hAnsi="Arial" w:cs="Arial"/>
                <w:b/>
                <w:bCs/>
              </w:rPr>
              <w:t>Table 1</w:t>
            </w:r>
            <w:r w:rsidR="006F3E71" w:rsidRPr="00BA491C">
              <w:rPr>
                <w:rFonts w:ascii="Arial" w:hAnsi="Arial" w:cs="Arial"/>
                <w:b/>
                <w:bCs/>
              </w:rPr>
              <w:t>8</w:t>
            </w:r>
            <w:r w:rsidRPr="00BA491C">
              <w:rPr>
                <w:rFonts w:ascii="Arial" w:hAnsi="Arial" w:cs="Arial"/>
                <w:b/>
                <w:bCs/>
              </w:rPr>
              <w:t>.1:  Summary of Potential Effects (</w:t>
            </w:r>
            <w:r w:rsidR="00FD3A01" w:rsidRPr="00BA491C">
              <w:rPr>
                <w:rFonts w:ascii="Arial" w:hAnsi="Arial" w:cs="Arial"/>
                <w:b/>
                <w:bCs/>
              </w:rPr>
              <w:t>Climate</w:t>
            </w:r>
            <w:r w:rsidRPr="00BA491C">
              <w:rPr>
                <w:rFonts w:ascii="Arial" w:hAnsi="Arial" w:cs="Arial"/>
                <w:b/>
                <w:bCs/>
              </w:rPr>
              <w:t>)</w:t>
            </w:r>
          </w:p>
        </w:tc>
      </w:tr>
      <w:tr w:rsidR="00D456A6" w:rsidRPr="00E10034" w14:paraId="055D8081" w14:textId="77777777" w:rsidTr="00673FA2">
        <w:tc>
          <w:tcPr>
            <w:tcW w:w="9016" w:type="dxa"/>
            <w:shd w:val="clear" w:color="auto" w:fill="D9D9D9" w:themeFill="background1" w:themeFillShade="D9"/>
          </w:tcPr>
          <w:p w14:paraId="7E72636E" w14:textId="77777777" w:rsidR="00D456A6" w:rsidRPr="00BA491C" w:rsidRDefault="00D456A6" w:rsidP="00673FA2">
            <w:pPr>
              <w:tabs>
                <w:tab w:val="center" w:pos="4400"/>
              </w:tabs>
              <w:jc w:val="both"/>
              <w:rPr>
                <w:rFonts w:ascii="Arial" w:hAnsi="Arial" w:cs="Arial"/>
              </w:rPr>
            </w:pPr>
            <w:r w:rsidRPr="00BA491C">
              <w:rPr>
                <w:rFonts w:ascii="Arial" w:hAnsi="Arial" w:cs="Arial"/>
                <w:b/>
                <w:bCs/>
              </w:rPr>
              <w:t>Do Nothing</w:t>
            </w:r>
            <w:r w:rsidRPr="00BA491C">
              <w:rPr>
                <w:rFonts w:ascii="Arial" w:hAnsi="Arial" w:cs="Arial"/>
                <w:b/>
                <w:bCs/>
              </w:rPr>
              <w:tab/>
            </w:r>
          </w:p>
        </w:tc>
      </w:tr>
      <w:tr w:rsidR="00D456A6" w:rsidRPr="00E10034" w14:paraId="75887B42" w14:textId="77777777" w:rsidTr="00673FA2">
        <w:tc>
          <w:tcPr>
            <w:tcW w:w="9016" w:type="dxa"/>
          </w:tcPr>
          <w:p w14:paraId="6F178CFB" w14:textId="1CAEBD0D" w:rsidR="00D456A6" w:rsidRPr="00DE7626" w:rsidRDefault="005C0B93" w:rsidP="00DE7626">
            <w:pPr>
              <w:pStyle w:val="ListParagraph"/>
              <w:numPr>
                <w:ilvl w:val="0"/>
                <w:numId w:val="41"/>
              </w:numPr>
              <w:spacing w:after="0" w:line="240" w:lineRule="auto"/>
              <w:jc w:val="both"/>
              <w:rPr>
                <w:sz w:val="22"/>
                <w:szCs w:val="22"/>
              </w:rPr>
            </w:pPr>
            <w:r w:rsidRPr="00DE7626">
              <w:rPr>
                <w:sz w:val="22"/>
                <w:szCs w:val="22"/>
              </w:rPr>
              <w:t xml:space="preserve">As the Site is located on already developed (brownfield) land of the Tarbert Power Station, which is due to cease operation in December 2023, the baseline emissions for the Site </w:t>
            </w:r>
            <w:proofErr w:type="gramStart"/>
            <w:r w:rsidRPr="00DE7626">
              <w:rPr>
                <w:sz w:val="22"/>
                <w:szCs w:val="22"/>
              </w:rPr>
              <w:t>is</w:t>
            </w:r>
            <w:proofErr w:type="gramEnd"/>
            <w:r w:rsidRPr="00DE7626">
              <w:rPr>
                <w:sz w:val="22"/>
                <w:szCs w:val="22"/>
              </w:rPr>
              <w:t xml:space="preserve"> currently considered zero as no carbon will be sequestered or emitted at the Site when the Proposed Development is due to begin construction. Land use change is not considered due to Site already consisting of inactive developed land (brownfield).</w:t>
            </w:r>
          </w:p>
        </w:tc>
      </w:tr>
      <w:tr w:rsidR="00D456A6" w:rsidRPr="00E10034" w14:paraId="245749F3" w14:textId="77777777" w:rsidTr="00673FA2">
        <w:tc>
          <w:tcPr>
            <w:tcW w:w="9016" w:type="dxa"/>
            <w:shd w:val="clear" w:color="auto" w:fill="D9D9D9" w:themeFill="background1" w:themeFillShade="D9"/>
          </w:tcPr>
          <w:p w14:paraId="0FED7968" w14:textId="77777777" w:rsidR="00D456A6" w:rsidRPr="00BA491C" w:rsidRDefault="00D456A6" w:rsidP="00673FA2">
            <w:pPr>
              <w:jc w:val="both"/>
              <w:rPr>
                <w:rFonts w:ascii="Arial" w:hAnsi="Arial" w:cs="Arial"/>
              </w:rPr>
            </w:pPr>
            <w:r w:rsidRPr="00BA491C">
              <w:rPr>
                <w:rFonts w:ascii="Arial" w:hAnsi="Arial" w:cs="Arial"/>
                <w:b/>
                <w:bCs/>
              </w:rPr>
              <w:t>Construction</w:t>
            </w:r>
          </w:p>
        </w:tc>
      </w:tr>
      <w:tr w:rsidR="00D456A6" w:rsidRPr="00E10034" w14:paraId="3771AFA3" w14:textId="77777777" w:rsidTr="00673FA2">
        <w:tc>
          <w:tcPr>
            <w:tcW w:w="9016" w:type="dxa"/>
          </w:tcPr>
          <w:p w14:paraId="6AADB2B4" w14:textId="77777777" w:rsidR="00061335" w:rsidRPr="00BA491C" w:rsidRDefault="00490D4A" w:rsidP="00C6208E">
            <w:pPr>
              <w:pStyle w:val="ListParagraph"/>
              <w:numPr>
                <w:ilvl w:val="0"/>
                <w:numId w:val="41"/>
              </w:numPr>
              <w:spacing w:after="0" w:line="240" w:lineRule="auto"/>
              <w:jc w:val="both"/>
              <w:rPr>
                <w:sz w:val="22"/>
                <w:szCs w:val="22"/>
              </w:rPr>
            </w:pPr>
            <w:r w:rsidRPr="00BA491C">
              <w:rPr>
                <w:sz w:val="22"/>
                <w:szCs w:val="22"/>
              </w:rPr>
              <w:t xml:space="preserve">In summary, the total Greenhouse Gas emissions from constructing the Proposed Development are estimated to be 10,399 tCO2e. </w:t>
            </w:r>
          </w:p>
          <w:p w14:paraId="43BCA779" w14:textId="7D80E05F" w:rsidR="00311F33" w:rsidRPr="00BA491C" w:rsidRDefault="00311F33" w:rsidP="00C6208E">
            <w:pPr>
              <w:pStyle w:val="ListParagraph"/>
              <w:numPr>
                <w:ilvl w:val="0"/>
                <w:numId w:val="41"/>
              </w:numPr>
              <w:spacing w:after="0" w:line="240" w:lineRule="auto"/>
              <w:jc w:val="both"/>
              <w:rPr>
                <w:sz w:val="22"/>
                <w:szCs w:val="22"/>
              </w:rPr>
            </w:pPr>
            <w:r w:rsidRPr="00BA491C">
              <w:rPr>
                <w:sz w:val="22"/>
                <w:szCs w:val="22"/>
              </w:rPr>
              <w:t>All emissions are considered significant. To contextualise the level of significance, emissions are compared to the Irish carbon budgets. Emissions from the construction of the Proposed Development contribute considerably less than 1% of any carbon budget.</w:t>
            </w:r>
          </w:p>
        </w:tc>
      </w:tr>
      <w:tr w:rsidR="00D456A6" w:rsidRPr="00E10034" w14:paraId="08DDEE26" w14:textId="77777777" w:rsidTr="00673FA2">
        <w:tc>
          <w:tcPr>
            <w:tcW w:w="9016" w:type="dxa"/>
            <w:shd w:val="clear" w:color="auto" w:fill="D9D9D9" w:themeFill="background1" w:themeFillShade="D9"/>
          </w:tcPr>
          <w:p w14:paraId="1F6BE286" w14:textId="77777777" w:rsidR="00D456A6" w:rsidRPr="00BA491C" w:rsidRDefault="00D456A6" w:rsidP="00673FA2">
            <w:pPr>
              <w:jc w:val="both"/>
              <w:rPr>
                <w:rFonts w:ascii="Arial" w:hAnsi="Arial" w:cs="Arial"/>
              </w:rPr>
            </w:pPr>
            <w:r w:rsidRPr="00BA491C">
              <w:rPr>
                <w:rFonts w:ascii="Arial" w:hAnsi="Arial" w:cs="Arial"/>
                <w:b/>
                <w:bCs/>
              </w:rPr>
              <w:t>Operational Impacts</w:t>
            </w:r>
          </w:p>
        </w:tc>
      </w:tr>
      <w:tr w:rsidR="00D456A6" w:rsidRPr="00E10034" w14:paraId="31DC06D3" w14:textId="77777777" w:rsidTr="00673FA2">
        <w:tc>
          <w:tcPr>
            <w:tcW w:w="9016" w:type="dxa"/>
          </w:tcPr>
          <w:p w14:paraId="4505D583" w14:textId="7BA33900" w:rsidR="00D456A6" w:rsidRPr="002A644F" w:rsidRDefault="003369EB" w:rsidP="00C6208E">
            <w:pPr>
              <w:pStyle w:val="ListParagraph"/>
              <w:numPr>
                <w:ilvl w:val="0"/>
                <w:numId w:val="42"/>
              </w:numPr>
              <w:spacing w:after="0" w:line="240" w:lineRule="auto"/>
              <w:jc w:val="both"/>
              <w:rPr>
                <w:sz w:val="22"/>
                <w:szCs w:val="22"/>
              </w:rPr>
            </w:pPr>
            <w:r w:rsidRPr="002A644F">
              <w:rPr>
                <w:sz w:val="22"/>
                <w:szCs w:val="22"/>
              </w:rPr>
              <w:t>The GHGs from operating the Proposed Development over its 25-year life are estimated to be 1,533,021 tCO2e. Annual emissions are expected to be approximately 61,321 tCO2e. with the assumed operational hours of 1</w:t>
            </w:r>
            <w:r w:rsidR="007050E4">
              <w:rPr>
                <w:sz w:val="22"/>
                <w:szCs w:val="22"/>
              </w:rPr>
              <w:t>,</w:t>
            </w:r>
            <w:r w:rsidRPr="002A644F">
              <w:rPr>
                <w:sz w:val="22"/>
                <w:szCs w:val="22"/>
              </w:rPr>
              <w:t xml:space="preserve">800 hours/year. </w:t>
            </w:r>
          </w:p>
          <w:p w14:paraId="17707E9C" w14:textId="3D09947E" w:rsidR="002A75FD" w:rsidRPr="002A644F" w:rsidRDefault="002A75FD" w:rsidP="00C6208E">
            <w:pPr>
              <w:pStyle w:val="ListParagraph"/>
              <w:numPr>
                <w:ilvl w:val="0"/>
                <w:numId w:val="42"/>
              </w:numPr>
              <w:spacing w:after="0" w:line="240" w:lineRule="auto"/>
              <w:jc w:val="both"/>
              <w:rPr>
                <w:sz w:val="22"/>
                <w:szCs w:val="22"/>
              </w:rPr>
            </w:pPr>
            <w:proofErr w:type="gramStart"/>
            <w:r w:rsidRPr="002A644F">
              <w:rPr>
                <w:sz w:val="22"/>
                <w:szCs w:val="22"/>
              </w:rPr>
              <w:t>The majority of</w:t>
            </w:r>
            <w:proofErr w:type="gramEnd"/>
            <w:r w:rsidRPr="002A644F">
              <w:rPr>
                <w:sz w:val="22"/>
                <w:szCs w:val="22"/>
              </w:rPr>
              <w:t xml:space="preserve"> emissions associated with the operational phase are the Scope 3 Well-To-Tank (WTT) emissions relating to the HVO fuel upstream of the Proposed Development. This is expected for an OCGT using HVO. The relative proportion of emissions associated with its WTT component is much higher for HVO when compared to traditional fuel sources, explaining its higher proportion of scope 3 emissions. Despite this, HVO is an overall far lower-carbon intensity fuel</w:t>
            </w:r>
            <w:r w:rsidR="002F6580" w:rsidRPr="002A644F">
              <w:rPr>
                <w:sz w:val="22"/>
                <w:szCs w:val="22"/>
              </w:rPr>
              <w:t>.</w:t>
            </w:r>
          </w:p>
          <w:p w14:paraId="21B4D655" w14:textId="318F2F2E" w:rsidR="00EA6B99" w:rsidRPr="002A644F" w:rsidRDefault="00EA6B99" w:rsidP="00C6208E">
            <w:pPr>
              <w:pStyle w:val="ListParagraph"/>
              <w:numPr>
                <w:ilvl w:val="0"/>
                <w:numId w:val="42"/>
              </w:numPr>
              <w:spacing w:after="0" w:line="240" w:lineRule="auto"/>
              <w:jc w:val="both"/>
              <w:rPr>
                <w:sz w:val="22"/>
                <w:szCs w:val="22"/>
              </w:rPr>
            </w:pPr>
            <w:r w:rsidRPr="002A644F">
              <w:rPr>
                <w:sz w:val="22"/>
                <w:szCs w:val="22"/>
              </w:rPr>
              <w:t>Climate Change Risk and Resilience (CCRA) risk assessment identified a total of 11 climate change risks for the construction and operation stages of the Proposed Development. Due to the similarity of the two future baseline scenarios to 2060, the same climate change risks were identified for each scenario.</w:t>
            </w:r>
          </w:p>
          <w:p w14:paraId="1446579C" w14:textId="77777777" w:rsidR="00FF04FF" w:rsidRPr="002A644F" w:rsidRDefault="00564459" w:rsidP="00C6208E">
            <w:pPr>
              <w:pStyle w:val="ListParagraph"/>
              <w:numPr>
                <w:ilvl w:val="0"/>
                <w:numId w:val="42"/>
              </w:numPr>
              <w:spacing w:after="0" w:line="240" w:lineRule="auto"/>
              <w:jc w:val="both"/>
              <w:rPr>
                <w:sz w:val="22"/>
                <w:szCs w:val="22"/>
              </w:rPr>
            </w:pPr>
            <w:r w:rsidRPr="002A644F">
              <w:rPr>
                <w:sz w:val="22"/>
                <w:szCs w:val="22"/>
              </w:rPr>
              <w:t xml:space="preserve">The medium risk identified related to the vulnerability of the Site to inundation from coastal flooding from the Shannon estuary. The Proposed Development falls within Flood Zone A for tidal/coastal flooding (EIAR Chapter 12: Water Environment), meaning there is a high probability of coastal flood events within the Site boundary. </w:t>
            </w:r>
            <w:r w:rsidRPr="002A644F">
              <w:rPr>
                <w:sz w:val="22"/>
                <w:szCs w:val="22"/>
              </w:rPr>
              <w:lastRenderedPageBreak/>
              <w:t xml:space="preserve">This indicates that flood defence measures above standard practice </w:t>
            </w:r>
            <w:proofErr w:type="gramStart"/>
            <w:r w:rsidRPr="002A644F">
              <w:rPr>
                <w:sz w:val="22"/>
                <w:szCs w:val="22"/>
              </w:rPr>
              <w:t>are</w:t>
            </w:r>
            <w:proofErr w:type="gramEnd"/>
            <w:r w:rsidRPr="002A644F">
              <w:rPr>
                <w:sz w:val="22"/>
                <w:szCs w:val="22"/>
              </w:rPr>
              <w:t xml:space="preserve"> required for appropriate flood risk mitigation. </w:t>
            </w:r>
          </w:p>
          <w:p w14:paraId="0BDCD4CA" w14:textId="67B134E0" w:rsidR="00D456A6" w:rsidRPr="002A644F" w:rsidRDefault="00564459" w:rsidP="00C6208E">
            <w:pPr>
              <w:pStyle w:val="ListParagraph"/>
              <w:numPr>
                <w:ilvl w:val="0"/>
                <w:numId w:val="42"/>
              </w:numPr>
              <w:spacing w:after="0" w:line="240" w:lineRule="auto"/>
              <w:jc w:val="both"/>
              <w:rPr>
                <w:sz w:val="22"/>
                <w:szCs w:val="22"/>
              </w:rPr>
            </w:pPr>
            <w:r w:rsidRPr="002A644F">
              <w:rPr>
                <w:sz w:val="22"/>
                <w:szCs w:val="22"/>
              </w:rPr>
              <w:t>In summary, the climate change risk and adaptation assessment illustrate that climate change risk does not present a significant risk to the Proposed Development assuming all proposed adaptation measures are successfully implemented.</w:t>
            </w:r>
          </w:p>
        </w:tc>
      </w:tr>
      <w:tr w:rsidR="00D456A6" w:rsidRPr="00E10034" w14:paraId="23F58512" w14:textId="77777777" w:rsidTr="00673FA2">
        <w:tc>
          <w:tcPr>
            <w:tcW w:w="9016" w:type="dxa"/>
            <w:shd w:val="clear" w:color="auto" w:fill="D9D9D9" w:themeFill="background1" w:themeFillShade="D9"/>
          </w:tcPr>
          <w:p w14:paraId="60FEA464" w14:textId="77777777" w:rsidR="00D456A6" w:rsidRPr="002A644F" w:rsidRDefault="00D456A6" w:rsidP="00673FA2">
            <w:pPr>
              <w:jc w:val="both"/>
              <w:rPr>
                <w:rFonts w:ascii="Arial" w:hAnsi="Arial" w:cs="Arial"/>
              </w:rPr>
            </w:pPr>
            <w:r w:rsidRPr="002A644F">
              <w:rPr>
                <w:rFonts w:ascii="Arial" w:hAnsi="Arial" w:cs="Arial"/>
                <w:b/>
                <w:bCs/>
              </w:rPr>
              <w:lastRenderedPageBreak/>
              <w:t>Decommissioning</w:t>
            </w:r>
          </w:p>
        </w:tc>
      </w:tr>
      <w:tr w:rsidR="00D456A6" w:rsidRPr="00E10034" w14:paraId="72BA2661" w14:textId="77777777" w:rsidTr="00673FA2">
        <w:tc>
          <w:tcPr>
            <w:tcW w:w="9016" w:type="dxa"/>
          </w:tcPr>
          <w:p w14:paraId="1CFEB6DE" w14:textId="303F85A7" w:rsidR="00D456A6" w:rsidRPr="002A644F" w:rsidRDefault="002A644F" w:rsidP="002A644F">
            <w:pPr>
              <w:pStyle w:val="ListParagraph"/>
              <w:numPr>
                <w:ilvl w:val="0"/>
                <w:numId w:val="41"/>
              </w:numPr>
              <w:spacing w:after="0" w:line="240" w:lineRule="auto"/>
              <w:jc w:val="both"/>
              <w:rPr>
                <w:sz w:val="22"/>
                <w:szCs w:val="22"/>
              </w:rPr>
            </w:pPr>
            <w:r w:rsidRPr="002A644F">
              <w:rPr>
                <w:sz w:val="22"/>
                <w:szCs w:val="22"/>
              </w:rPr>
              <w:t>GHG emissions arising from fuel consumption of plant and vehicles, and the disposal or recycling of materials.</w:t>
            </w:r>
          </w:p>
        </w:tc>
      </w:tr>
      <w:tr w:rsidR="00D456A6" w:rsidRPr="00E10034" w14:paraId="67D54E58" w14:textId="77777777" w:rsidTr="00673FA2">
        <w:tc>
          <w:tcPr>
            <w:tcW w:w="9016" w:type="dxa"/>
            <w:shd w:val="clear" w:color="auto" w:fill="D9D9D9" w:themeFill="background1" w:themeFillShade="D9"/>
          </w:tcPr>
          <w:p w14:paraId="6A5F5F3B" w14:textId="77777777" w:rsidR="00D456A6" w:rsidRPr="002A644F" w:rsidRDefault="00D456A6" w:rsidP="00673FA2">
            <w:pPr>
              <w:jc w:val="both"/>
              <w:rPr>
                <w:rFonts w:ascii="Arial" w:hAnsi="Arial" w:cs="Arial"/>
              </w:rPr>
            </w:pPr>
            <w:r w:rsidRPr="002A644F">
              <w:rPr>
                <w:rFonts w:ascii="Arial" w:hAnsi="Arial" w:cs="Arial"/>
                <w:b/>
                <w:bCs/>
              </w:rPr>
              <w:t>Cumulative Impacts</w:t>
            </w:r>
          </w:p>
        </w:tc>
      </w:tr>
      <w:tr w:rsidR="00D456A6" w:rsidRPr="00E10034" w14:paraId="09C437CA" w14:textId="77777777" w:rsidTr="00673FA2">
        <w:tc>
          <w:tcPr>
            <w:tcW w:w="9016" w:type="dxa"/>
          </w:tcPr>
          <w:p w14:paraId="7D2B8618" w14:textId="4FFBE8DE" w:rsidR="00D456A6" w:rsidRPr="002A644F" w:rsidRDefault="00DF0510" w:rsidP="00C6208E">
            <w:pPr>
              <w:pStyle w:val="ListParagraph"/>
              <w:numPr>
                <w:ilvl w:val="0"/>
                <w:numId w:val="43"/>
              </w:numPr>
              <w:spacing w:after="0" w:line="240" w:lineRule="auto"/>
              <w:jc w:val="both"/>
              <w:rPr>
                <w:sz w:val="22"/>
                <w:szCs w:val="22"/>
              </w:rPr>
            </w:pPr>
            <w:r w:rsidRPr="002A644F">
              <w:rPr>
                <w:sz w:val="22"/>
                <w:szCs w:val="22"/>
              </w:rPr>
              <w:t xml:space="preserve">Climate change is the result of </w:t>
            </w:r>
            <w:r w:rsidR="00DE0875" w:rsidRPr="002A644F">
              <w:rPr>
                <w:sz w:val="22"/>
                <w:szCs w:val="22"/>
              </w:rPr>
              <w:t xml:space="preserve">cumulative impacts.  </w:t>
            </w:r>
            <w:r w:rsidR="00302BB8" w:rsidRPr="002A644F">
              <w:rPr>
                <w:sz w:val="22"/>
                <w:szCs w:val="22"/>
              </w:rPr>
              <w:t>On a sectoral scale, w</w:t>
            </w:r>
            <w:r w:rsidR="00DC471D" w:rsidRPr="002A644F">
              <w:rPr>
                <w:sz w:val="22"/>
                <w:szCs w:val="22"/>
              </w:rPr>
              <w:t>hile the Proposed Development will result in direct emissions from the combustion of HVO, this is seen as necessary energy generation and produces significantly less GHG emissions than traditional alternatives. Additionally, the Proposed Development comprises a</w:t>
            </w:r>
            <w:r w:rsidR="00302BB8" w:rsidRPr="002A644F">
              <w:rPr>
                <w:sz w:val="22"/>
                <w:szCs w:val="22"/>
              </w:rPr>
              <w:t xml:space="preserve"> key component of the transition to low-carbon energy by providing flexibility to allow for intermittent renewable energy (e.g., wind or solar) to be maximised.</w:t>
            </w:r>
          </w:p>
        </w:tc>
      </w:tr>
    </w:tbl>
    <w:p w14:paraId="479CF79B" w14:textId="77777777" w:rsidR="00D456A6" w:rsidRPr="00453342" w:rsidRDefault="00D456A6" w:rsidP="00D456A6">
      <w:pPr>
        <w:rPr>
          <w:rFonts w:ascii="Arial" w:hAnsi="Arial" w:cs="Arial"/>
        </w:rPr>
      </w:pPr>
    </w:p>
    <w:p w14:paraId="6BD3CA20" w14:textId="77777777" w:rsidR="00D456A6" w:rsidRDefault="00D456A6" w:rsidP="00D456A6">
      <w:pPr>
        <w:pStyle w:val="Heading2"/>
      </w:pPr>
      <w:r>
        <w:t>Mitigation</w:t>
      </w:r>
    </w:p>
    <w:p w14:paraId="399F3DBB" w14:textId="1BFCD626" w:rsidR="007E4431" w:rsidRDefault="00CC110E" w:rsidP="00EA08B7">
      <w:pPr>
        <w:pStyle w:val="BBody1"/>
        <w:numPr>
          <w:ilvl w:val="0"/>
          <w:numId w:val="0"/>
        </w:numPr>
        <w:jc w:val="both"/>
      </w:pPr>
      <w:r>
        <w:t xml:space="preserve">During the Construction phase mitigation measures </w:t>
      </w:r>
      <w:r w:rsidR="00D10BA7">
        <w:t>include the</w:t>
      </w:r>
      <w:r>
        <w:t xml:space="preserve"> </w:t>
      </w:r>
      <w:r w:rsidR="00D10BA7">
        <w:t>p</w:t>
      </w:r>
      <w:r>
        <w:t>repar</w:t>
      </w:r>
      <w:r w:rsidR="00D10BA7">
        <w:t>ation of</w:t>
      </w:r>
      <w:r>
        <w:t xml:space="preserve"> a register of vulnerable construction assets</w:t>
      </w:r>
      <w:r w:rsidR="00D10BA7">
        <w:t>, i</w:t>
      </w:r>
      <w:r w:rsidR="006E494E">
        <w:t>nspection of vulnerable construction assets after a hot day</w:t>
      </w:r>
      <w:r w:rsidR="001E2D3A">
        <w:t xml:space="preserve">, </w:t>
      </w:r>
      <w:r w:rsidR="006E494E">
        <w:t>Implement</w:t>
      </w:r>
      <w:r w:rsidR="001E2D3A">
        <w:t>ation of</w:t>
      </w:r>
      <w:r w:rsidR="006E494E">
        <w:t xml:space="preserve"> measures to combat extreme heat conditions (e.g., avoid working on hot summer days, appropriate sun protection, training for identifying heat illness and for working in hot conditions, work in shaded areas, plan major activities for cooler parts of the day, wear loose fitting/breathable clothing). For extreme rainfall forecasts, construction plants will be secure and stored at higher ground levels</w:t>
      </w:r>
      <w:r w:rsidR="001E2D3A">
        <w:t xml:space="preserve"> and c</w:t>
      </w:r>
      <w:r w:rsidR="006E494E">
        <w:t>ritical construction equipment will be stored at higher ground levels.</w:t>
      </w:r>
      <w:r w:rsidR="00EA08B7">
        <w:t xml:space="preserve">  </w:t>
      </w:r>
      <w:r w:rsidR="006E494E">
        <w:t xml:space="preserve">For a complete list of adaptation measures identified for the Proposed Development, refer to Appendix 17A, EIAR Volume II. </w:t>
      </w:r>
    </w:p>
    <w:p w14:paraId="36FE1F24" w14:textId="5C5951DD" w:rsidR="00D456A6" w:rsidRPr="00680AAF" w:rsidRDefault="006E494E" w:rsidP="002749F8">
      <w:pPr>
        <w:pStyle w:val="BBody1"/>
        <w:numPr>
          <w:ilvl w:val="0"/>
          <w:numId w:val="0"/>
        </w:numPr>
        <w:jc w:val="both"/>
      </w:pPr>
      <w:r>
        <w:t>During the Operation phase</w:t>
      </w:r>
      <w:r w:rsidR="00A61002">
        <w:t xml:space="preserve">, </w:t>
      </w:r>
      <w:r>
        <w:t xml:space="preserve">mitigation measures </w:t>
      </w:r>
      <w:r w:rsidR="005B2FD6">
        <w:t xml:space="preserve">will </w:t>
      </w:r>
      <w:r w:rsidR="00A61002">
        <w:t>include</w:t>
      </w:r>
      <w:r>
        <w:t xml:space="preserve"> </w:t>
      </w:r>
      <w:r w:rsidR="00A61002">
        <w:t>the p</w:t>
      </w:r>
      <w:r>
        <w:t>repar</w:t>
      </w:r>
      <w:r w:rsidR="00A61002">
        <w:t>ation</w:t>
      </w:r>
      <w:r>
        <w:t xml:space="preserve"> and implement</w:t>
      </w:r>
      <w:r w:rsidR="00A61002">
        <w:t>ation of</w:t>
      </w:r>
      <w:r>
        <w:t xml:space="preserve"> a storm water management plan</w:t>
      </w:r>
      <w:r w:rsidR="005374E1">
        <w:t>, the s</w:t>
      </w:r>
      <w:r>
        <w:t xml:space="preserve">torage of pollutant material </w:t>
      </w:r>
      <w:r w:rsidR="00D10BA7">
        <w:t>from</w:t>
      </w:r>
      <w:r>
        <w:t xml:space="preserve"> extreme weather and flood damage. </w:t>
      </w:r>
      <w:r w:rsidR="005374E1">
        <w:t>Maintenance will be m</w:t>
      </w:r>
      <w:r>
        <w:t>inimise</w:t>
      </w:r>
      <w:r w:rsidR="005374E1">
        <w:t>d</w:t>
      </w:r>
      <w:r>
        <w:t xml:space="preserve"> during extreme weather events (e.g., strong winds)</w:t>
      </w:r>
      <w:r w:rsidR="005B2FD6">
        <w:t xml:space="preserve"> and the m</w:t>
      </w:r>
      <w:r>
        <w:t>aintenance of the drainage system to be included within general site management.</w:t>
      </w:r>
    </w:p>
    <w:p w14:paraId="4DFD891C" w14:textId="77777777" w:rsidR="00D456A6" w:rsidRDefault="00D456A6" w:rsidP="00D456A6">
      <w:pPr>
        <w:pStyle w:val="Heading2"/>
      </w:pPr>
      <w:r>
        <w:t>Residual Effects</w:t>
      </w:r>
    </w:p>
    <w:p w14:paraId="1281D9A1" w14:textId="71F36F2F" w:rsidR="00D456A6" w:rsidRPr="00680AAF" w:rsidRDefault="007D4DBA" w:rsidP="002749F8">
      <w:pPr>
        <w:pStyle w:val="BBody1"/>
        <w:numPr>
          <w:ilvl w:val="0"/>
          <w:numId w:val="0"/>
        </w:numPr>
        <w:jc w:val="both"/>
      </w:pPr>
      <w:r>
        <w:t>The flood defence scheme is considered sufficient to reduce the profile of the medium risk identified.</w:t>
      </w:r>
      <w:r w:rsidR="00827767">
        <w:t xml:space="preserve">  Assuming all proposed adaptation measures are successfully </w:t>
      </w:r>
      <w:r w:rsidR="00827767">
        <w:lastRenderedPageBreak/>
        <w:t>implemented, no significant climate change risks</w:t>
      </w:r>
      <w:r w:rsidR="002749F8">
        <w:t xml:space="preserve"> (EIAR, Appendix 17A)</w:t>
      </w:r>
      <w:r w:rsidR="00827767">
        <w:t xml:space="preserve"> have been identified for the Proposed Development. </w:t>
      </w:r>
    </w:p>
    <w:p w14:paraId="1A86C2E4" w14:textId="77777777" w:rsidR="00D456A6" w:rsidRPr="00B91FA0" w:rsidRDefault="00D456A6" w:rsidP="00D456A6">
      <w:pPr>
        <w:pStyle w:val="Heading2"/>
      </w:pPr>
      <w:r w:rsidRPr="00B91FA0">
        <w:t>The Assessment:  Direct and Indirect Effects</w:t>
      </w:r>
    </w:p>
    <w:p w14:paraId="13CB0B25" w14:textId="3AC29157" w:rsidR="008A1A5C" w:rsidRDefault="008A1A5C" w:rsidP="00B91FA0">
      <w:pPr>
        <w:pStyle w:val="BBody1"/>
        <w:numPr>
          <w:ilvl w:val="0"/>
          <w:numId w:val="0"/>
        </w:numPr>
        <w:jc w:val="both"/>
      </w:pPr>
      <w:r>
        <w:t>I consider that a robust Climate assessment has been completed in the EIAR</w:t>
      </w:r>
      <w:r w:rsidR="00D5221D">
        <w:t>.</w:t>
      </w:r>
      <w:r w:rsidR="00235A03">
        <w:t xml:space="preserve">  Total Greenhouse Gas emissions from construction are estimated to be 10,399 tCO</w:t>
      </w:r>
      <w:r w:rsidR="009A554F">
        <w:t xml:space="preserve">2e.  The GHGs from the proposed development over the 25 years life are estimated to be </w:t>
      </w:r>
      <w:r w:rsidR="009A554F" w:rsidRPr="009A554F">
        <w:t>1,533,021 tCO2e.</w:t>
      </w:r>
      <w:r w:rsidR="00AD0BF5">
        <w:t xml:space="preserve">  Annual emissions are expected to be approximately 61,321 tCO2e. with the assumed operational hours of 1800 hours/year.</w:t>
      </w:r>
    </w:p>
    <w:p w14:paraId="3EEF70A8" w14:textId="5600D61B" w:rsidR="00D456A6" w:rsidRDefault="00AE431C" w:rsidP="00D456A6">
      <w:pPr>
        <w:pStyle w:val="BBody1"/>
        <w:numPr>
          <w:ilvl w:val="0"/>
          <w:numId w:val="0"/>
        </w:numPr>
        <w:jc w:val="both"/>
      </w:pPr>
      <w:r>
        <w:t>The Proposed Development will result in direct emissions from the combustion of HVO</w:t>
      </w:r>
      <w:r w:rsidR="00D5221D">
        <w:t>.</w:t>
      </w:r>
      <w:r>
        <w:t xml:space="preserve"> </w:t>
      </w:r>
      <w:r w:rsidR="00D5221D">
        <w:t xml:space="preserve"> T</w:t>
      </w:r>
      <w:r>
        <w:t>his is seen as necessary energy generation and produces significantly less GHG emissions than traditional alternatives.</w:t>
      </w:r>
      <w:r w:rsidR="009E1FB8">
        <w:t xml:space="preserve">  </w:t>
      </w:r>
      <w:r w:rsidR="0032776B" w:rsidRPr="00B91FA0">
        <w:t>I am satisfied that a HVO fuelled OCGT represents a significant reduction in emissions when compared to alternative methods of energy production</w:t>
      </w:r>
      <w:r w:rsidR="00984500">
        <w:t xml:space="preserve">, e.g. natural </w:t>
      </w:r>
      <w:proofErr w:type="gramStart"/>
      <w:r w:rsidR="00984500">
        <w:t>gas</w:t>
      </w:r>
      <w:proofErr w:type="gramEnd"/>
      <w:r w:rsidR="00984500">
        <w:t xml:space="preserve"> or diesel</w:t>
      </w:r>
      <w:r>
        <w:t>,</w:t>
      </w:r>
      <w:r w:rsidR="0032776B" w:rsidRPr="00B91FA0">
        <w:t xml:space="preserve"> and therefore contributes to an overall reduction in GHG emissions in relation to Ireland’s carbon budgets</w:t>
      </w:r>
      <w:r w:rsidR="00B91FA0" w:rsidRPr="00B91FA0">
        <w:t>.</w:t>
      </w:r>
      <w:r w:rsidR="00AD0BF5">
        <w:t xml:space="preserve">  </w:t>
      </w:r>
    </w:p>
    <w:p w14:paraId="685DF41F" w14:textId="751AA5CC" w:rsidR="00660D03" w:rsidRPr="007E5B21" w:rsidRDefault="00660D03" w:rsidP="00D456A6">
      <w:pPr>
        <w:pStyle w:val="BBody1"/>
        <w:numPr>
          <w:ilvl w:val="0"/>
          <w:numId w:val="0"/>
        </w:numPr>
        <w:jc w:val="both"/>
      </w:pPr>
      <w:r>
        <w:t xml:space="preserve">I consider that Climate change risk and resilience (CCRA) has been </w:t>
      </w:r>
      <w:r w:rsidR="002D1031">
        <w:t>adequately assessed in the EIAR</w:t>
      </w:r>
      <w:r w:rsidR="00C63C86">
        <w:t xml:space="preserve"> and </w:t>
      </w:r>
      <w:r w:rsidR="00A05586">
        <w:t xml:space="preserve">climate change </w:t>
      </w:r>
      <w:r w:rsidR="00C63C86">
        <w:t xml:space="preserve">will not pose a significant </w:t>
      </w:r>
      <w:r w:rsidR="00305977">
        <w:t>risk</w:t>
      </w:r>
      <w:r w:rsidR="002D1031">
        <w:t xml:space="preserve"> </w:t>
      </w:r>
      <w:r w:rsidR="00A05586">
        <w:t xml:space="preserve">to the proposed development </w:t>
      </w:r>
      <w:r w:rsidR="00C82978">
        <w:t xml:space="preserve">subject to </w:t>
      </w:r>
      <w:r w:rsidR="00305977">
        <w:t xml:space="preserve">the </w:t>
      </w:r>
      <w:r w:rsidR="00C82978">
        <w:t xml:space="preserve">adaptation measures </w:t>
      </w:r>
      <w:r w:rsidR="00275B01">
        <w:t xml:space="preserve">outlined </w:t>
      </w:r>
      <w:r w:rsidR="00305977">
        <w:t xml:space="preserve">in the documentation </w:t>
      </w:r>
      <w:r w:rsidR="00C82978">
        <w:t>being successfully implemented.</w:t>
      </w:r>
    </w:p>
    <w:p w14:paraId="02C1AFFB" w14:textId="35EF738D" w:rsidR="00D456A6" w:rsidRPr="00AD0BF5" w:rsidRDefault="00D456A6" w:rsidP="00D456A6">
      <w:pPr>
        <w:pStyle w:val="Heading2"/>
      </w:pPr>
      <w:r w:rsidRPr="00AD0BF5">
        <w:t>Conclusion:  Direct and Indirect Effects (</w:t>
      </w:r>
      <w:r w:rsidR="00FD3A01" w:rsidRPr="00AD0BF5">
        <w:t>Climate</w:t>
      </w:r>
      <w:r w:rsidRPr="00AD0BF5">
        <w:t>)</w:t>
      </w:r>
    </w:p>
    <w:p w14:paraId="5720708E" w14:textId="36184B75" w:rsidR="009267C3" w:rsidRDefault="009267C3" w:rsidP="006F5B0C">
      <w:pPr>
        <w:pStyle w:val="BBody1"/>
        <w:numPr>
          <w:ilvl w:val="0"/>
          <w:numId w:val="0"/>
        </w:numPr>
        <w:jc w:val="both"/>
      </w:pPr>
      <w:r w:rsidRPr="007834C1">
        <w:t xml:space="preserve">Emissions from the proposed energy facilities would </w:t>
      </w:r>
      <w:r w:rsidR="00F47CF0">
        <w:t xml:space="preserve">be controlled </w:t>
      </w:r>
      <w:r w:rsidRPr="007834C1">
        <w:t>within the terms of an EPA IE licence as reviewed and/or amended</w:t>
      </w:r>
      <w:r w:rsidR="007237CE">
        <w:t xml:space="preserve"> during the operational phase</w:t>
      </w:r>
      <w:r w:rsidRPr="007834C1">
        <w:t xml:space="preserve">, and as such would be subject to ongoing and periodic monitoring. </w:t>
      </w:r>
      <w:r>
        <w:t>No significant residual impacts have been identified</w:t>
      </w:r>
      <w:r w:rsidR="00475E64">
        <w:t xml:space="preserve"> subject to implementation of adaptation measures</w:t>
      </w:r>
      <w:r>
        <w:t>.</w:t>
      </w:r>
    </w:p>
    <w:p w14:paraId="3945191F" w14:textId="2D16FEE3" w:rsidR="00D456A6" w:rsidRDefault="006F5B0C" w:rsidP="0089579A">
      <w:pPr>
        <w:pStyle w:val="BBody1"/>
        <w:numPr>
          <w:ilvl w:val="0"/>
          <w:numId w:val="0"/>
        </w:numPr>
        <w:jc w:val="both"/>
      </w:pPr>
      <w:r w:rsidRPr="006F5B0C">
        <w:t>On a sectoral scale, while the Proposed Development will result in direct emissions from the combustion of HVO, this is seen as necessary energy generation and produces significantly less GHG emissions than traditional alternatives. Additionally, the Proposed Development comprises a key component of the transition to low-carbon energy by providing flexibility to allow for intermittent renewable energy (e.g., wind or solar) to be maximised.</w:t>
      </w:r>
      <w:r w:rsidR="009163F0">
        <w:t xml:space="preserve">  </w:t>
      </w:r>
      <w:r w:rsidR="000B529F">
        <w:t xml:space="preserve">The relevant Local, European, National and Regional policies and objectives are set out in section 3.0 above. </w:t>
      </w:r>
      <w:r w:rsidR="000B529F" w:rsidRPr="00416939">
        <w:t>RED III</w:t>
      </w:r>
      <w:r w:rsidR="000B529F">
        <w:t xml:space="preserve"> sets an overall renewable </w:t>
      </w:r>
      <w:r w:rsidR="000B529F">
        <w:lastRenderedPageBreak/>
        <w:t xml:space="preserve">energy target of at least 42.5% binding at EU level by 2030, but it is aiming for 45%.  This target is raised from the previous 32% target.  It means almost doubling the existing share of renewable energy in the EU.  The Climate Action Plan 2024, </w:t>
      </w:r>
      <w:r w:rsidR="000B529F" w:rsidRPr="00D51CE3">
        <w:t xml:space="preserve">sets a roadmap for taking decisive action to halve Irelands emissions by 2030 and reach net zero no later than 2050, as committed to in the Programme for Government.  </w:t>
      </w:r>
      <w:r w:rsidR="000B529F">
        <w:t>The plan states that rapid delivery of flexible gas generation is needed at scale and in a timeframe to replace emissions from coal and oil generation before the second carbon budget period.  The Plan aims to deliver at least 2 GW of new flexible gas-fired power generation and phase out and end the use of coal and peat in electricity generation.</w:t>
      </w:r>
      <w:r w:rsidR="0089579A">
        <w:t xml:space="preserve">  </w:t>
      </w:r>
      <w:r w:rsidR="007E5B21">
        <w:t>I am satisfied that t</w:t>
      </w:r>
      <w:r w:rsidR="00AD0BF5">
        <w:t>he Proposed Development will play a key role in the decarbonisation of the energy sector to assist Ireland to achieve net zero emissions by 2050.</w:t>
      </w:r>
    </w:p>
    <w:p w14:paraId="2217486C" w14:textId="0822CAED" w:rsidR="00D456A6" w:rsidRDefault="00D456A6" w:rsidP="00D456A6">
      <w:pPr>
        <w:pStyle w:val="EHead1"/>
      </w:pPr>
      <w:bookmarkStart w:id="57" w:name="_Toc171346797"/>
      <w:r>
        <w:t>Wa</w:t>
      </w:r>
      <w:r w:rsidR="002E0FDC">
        <w:t>ste Management</w:t>
      </w:r>
      <w:bookmarkEnd w:id="57"/>
    </w:p>
    <w:p w14:paraId="52458153" w14:textId="491F4A10" w:rsidR="005D5BB0" w:rsidRPr="005D5BB0" w:rsidRDefault="005D5BB0" w:rsidP="005D5BB0">
      <w:pPr>
        <w:pStyle w:val="Heading2"/>
      </w:pPr>
      <w:r w:rsidRPr="005D5BB0">
        <w:t>Issues Raised</w:t>
      </w:r>
    </w:p>
    <w:p w14:paraId="42D849C4" w14:textId="61C9148F" w:rsidR="00886B52" w:rsidRDefault="00B22F70" w:rsidP="007C4514">
      <w:pPr>
        <w:pStyle w:val="BBody1"/>
        <w:numPr>
          <w:ilvl w:val="0"/>
          <w:numId w:val="0"/>
        </w:numPr>
        <w:jc w:val="both"/>
      </w:pPr>
      <w:r>
        <w:t xml:space="preserve">KCC </w:t>
      </w:r>
      <w:r w:rsidR="00142AE7">
        <w:t>Environment Section no</w:t>
      </w:r>
      <w:r w:rsidR="00886B52">
        <w:t>t</w:t>
      </w:r>
      <w:r w:rsidR="00142AE7">
        <w:t xml:space="preserve">es that significant </w:t>
      </w:r>
      <w:r w:rsidR="005A6EAF">
        <w:t>quantities</w:t>
      </w:r>
      <w:r w:rsidR="00142AE7">
        <w:t xml:space="preserve"> of waste will arise during the demolition and construction phases of the project</w:t>
      </w:r>
      <w:r w:rsidR="005A6EAF">
        <w:t>.</w:t>
      </w:r>
      <w:r w:rsidR="00764F7A">
        <w:t xml:space="preserve">  </w:t>
      </w:r>
      <w:r w:rsidR="00485C0A">
        <w:t>Further the quanti</w:t>
      </w:r>
      <w:r w:rsidR="00886B52">
        <w:t>ti</w:t>
      </w:r>
      <w:r w:rsidR="00485C0A">
        <w:t>es of waste type along with wast</w:t>
      </w:r>
      <w:r w:rsidR="00886B52">
        <w:t>e</w:t>
      </w:r>
      <w:r w:rsidR="00485C0A">
        <w:t xml:space="preserve"> contractors and facilities </w:t>
      </w:r>
      <w:r w:rsidR="00886B52">
        <w:t>should be identified</w:t>
      </w:r>
      <w:r w:rsidR="006C3483">
        <w:t xml:space="preserve"> by the applicant</w:t>
      </w:r>
      <w:r w:rsidR="00886B52">
        <w:t>.</w:t>
      </w:r>
      <w:r w:rsidR="006C3483">
        <w:t xml:space="preserve">  The applicant has responded by saying the total wastes arising are quantified in </w:t>
      </w:r>
      <w:r w:rsidR="009F4083">
        <w:t>Section</w:t>
      </w:r>
      <w:r w:rsidR="006C3483">
        <w:t xml:space="preserve"> 18.5.</w:t>
      </w:r>
      <w:r w:rsidR="009F4083">
        <w:t>8 of the EIAR</w:t>
      </w:r>
      <w:r w:rsidR="003639E5">
        <w:t xml:space="preserve">.  The applicant states that the appointed contractor will confirm </w:t>
      </w:r>
      <w:r w:rsidR="0068035A">
        <w:t>appropriately authorised facilities before the commencement of construction and demolition.</w:t>
      </w:r>
      <w:r w:rsidR="00DD11E8">
        <w:t xml:space="preserve">  </w:t>
      </w:r>
      <w:r w:rsidR="00040321">
        <w:t>Th</w:t>
      </w:r>
      <w:r w:rsidR="00151DEB">
        <w:t xml:space="preserve">is will require </w:t>
      </w:r>
      <w:r w:rsidR="0040799F">
        <w:t>consider</w:t>
      </w:r>
      <w:r w:rsidR="00151DEB">
        <w:t>ation of</w:t>
      </w:r>
      <w:r w:rsidR="0040799F">
        <w:t xml:space="preserve"> EPA guidance</w:t>
      </w:r>
      <w:r w:rsidR="00040321">
        <w:t xml:space="preserve"> in relation to hazardous waste, in finalising the Waste Management Plan</w:t>
      </w:r>
      <w:r w:rsidR="00151DEB">
        <w:t>.</w:t>
      </w:r>
      <w:r w:rsidR="0040799F">
        <w:t xml:space="preserve"> </w:t>
      </w:r>
      <w:r w:rsidR="00661F2C">
        <w:t xml:space="preserve"> </w:t>
      </w:r>
      <w:r w:rsidR="008D4F7F">
        <w:t>The applicant notes that dredging spoil is not</w:t>
      </w:r>
      <w:r w:rsidR="000831A1">
        <w:t xml:space="preserve"> anticipated to be generated by the project.</w:t>
      </w:r>
    </w:p>
    <w:p w14:paraId="6AC7181B" w14:textId="5F43B5A6" w:rsidR="00D456A6" w:rsidRPr="004F22F4" w:rsidRDefault="007C4514" w:rsidP="007C4514">
      <w:pPr>
        <w:pStyle w:val="BBody1"/>
        <w:numPr>
          <w:ilvl w:val="0"/>
          <w:numId w:val="0"/>
        </w:numPr>
        <w:jc w:val="both"/>
      </w:pPr>
      <w:r w:rsidRPr="00C6383B">
        <w:t xml:space="preserve">The NEHS notes the management of waste on site is relevant to the control of potential vectors of disease.  The NEHS recommends that a Pest/Vector control plan is incorporated into the design of the OCGT.  The applicant has responded by </w:t>
      </w:r>
      <w:r>
        <w:t>stating that existing waste management and pest control measures on site are effective and will be maintained.  The applicants have stated that a pest/vector control plan will be included as part of an updated CEMP to be submitted in advance of works commencing.</w:t>
      </w:r>
    </w:p>
    <w:p w14:paraId="2F44D265" w14:textId="09978D50" w:rsidR="00B25BCD" w:rsidRDefault="00D456A6" w:rsidP="005D5BB0">
      <w:pPr>
        <w:pStyle w:val="Heading2"/>
      </w:pPr>
      <w:r w:rsidRPr="00302D10">
        <w:lastRenderedPageBreak/>
        <w:t>Context</w:t>
      </w:r>
    </w:p>
    <w:p w14:paraId="6CFE9B9E" w14:textId="77777777" w:rsidR="00CA302A" w:rsidRDefault="00B25BCD" w:rsidP="00CA302A">
      <w:pPr>
        <w:pStyle w:val="BBody1"/>
        <w:numPr>
          <w:ilvl w:val="0"/>
          <w:numId w:val="0"/>
        </w:numPr>
        <w:jc w:val="both"/>
      </w:pPr>
      <w:r>
        <w:t>EIAR Chapter 1</w:t>
      </w:r>
      <w:r w:rsidR="00AA2C6D">
        <w:t>8</w:t>
      </w:r>
      <w:r>
        <w:t xml:space="preserve"> with associated Appendi</w:t>
      </w:r>
      <w:r w:rsidR="00AA2C6D">
        <w:t>x</w:t>
      </w:r>
      <w:r>
        <w:t xml:space="preserve"> </w:t>
      </w:r>
      <w:r w:rsidR="00D83BCD">
        <w:t>18A</w:t>
      </w:r>
      <w:r>
        <w:t xml:space="preserve"> (</w:t>
      </w:r>
      <w:r w:rsidR="00D83BCD">
        <w:t>Resource and Waste Management Plan</w:t>
      </w:r>
      <w:r>
        <w:t xml:space="preserve">) has assessed the </w:t>
      </w:r>
      <w:r w:rsidR="009B0EE8">
        <w:t>effects of the Proposed Development on waste management</w:t>
      </w:r>
      <w:r w:rsidR="00EE5E49">
        <w:t xml:space="preserve">.  </w:t>
      </w:r>
      <w:r>
        <w:t xml:space="preserve">The EIAR describes the regulatory and policy framework, the methodology used, </w:t>
      </w:r>
      <w:r w:rsidR="00A313E9">
        <w:t xml:space="preserve">the baseline environment, </w:t>
      </w:r>
      <w:r>
        <w:t>p</w:t>
      </w:r>
      <w:r w:rsidR="00A313E9">
        <w:t>otential</w:t>
      </w:r>
      <w:r>
        <w:t xml:space="preserve"> and cumulative impacts and residual impacts following mitigation.  </w:t>
      </w:r>
      <w:r w:rsidR="00D6403D">
        <w:t>The potential impacts of the Proposed Development with regards to waste management are the effects that waste arisings generated on-site will have on the capacity of waste management infrastructure in the study area and on meeting national targets for waste recovery.</w:t>
      </w:r>
    </w:p>
    <w:p w14:paraId="00C280EC" w14:textId="18721E3C" w:rsidR="00D456A6" w:rsidRDefault="00D456A6" w:rsidP="00CA302A">
      <w:pPr>
        <w:pStyle w:val="Heading2"/>
      </w:pPr>
      <w:r>
        <w:t>Baseline</w:t>
      </w:r>
    </w:p>
    <w:p w14:paraId="40D8873F" w14:textId="320EFA26" w:rsidR="00D456A6" w:rsidRPr="004F22F4" w:rsidRDefault="00087279" w:rsidP="005D5BB0">
      <w:pPr>
        <w:pStyle w:val="BBody1"/>
        <w:numPr>
          <w:ilvl w:val="0"/>
          <w:numId w:val="0"/>
        </w:numPr>
        <w:jc w:val="both"/>
      </w:pPr>
      <w:proofErr w:type="gramStart"/>
      <w:r>
        <w:t>For the purpose of</w:t>
      </w:r>
      <w:proofErr w:type="gramEnd"/>
      <w:r>
        <w:t xml:space="preserve"> th</w:t>
      </w:r>
      <w:r w:rsidR="00457982">
        <w:t>e</w:t>
      </w:r>
      <w:r>
        <w:t xml:space="preserve"> EIAR, waste is defined as per the European Waste Framework Directive (Directive 2008/98/EC) as “</w:t>
      </w:r>
      <w:r w:rsidRPr="00F435BA">
        <w:rPr>
          <w:i/>
          <w:iCs/>
        </w:rPr>
        <w:t>any substance or object which the holder discards or intends or is required to discard</w:t>
      </w:r>
      <w:r>
        <w:t>”.</w:t>
      </w:r>
      <w:r w:rsidR="00444334">
        <w:t xml:space="preserve">  In the absence of specific guidance or requirements for </w:t>
      </w:r>
      <w:r w:rsidR="00457982">
        <w:t>W</w:t>
      </w:r>
      <w:r w:rsidR="00444334">
        <w:t>aste Environmental Impact Assessment (EIA) in Ireland, professional judgement is used to determine the magnitude and significance of effect, considering the following EIA guidance</w:t>
      </w:r>
      <w:r w:rsidR="001875E1">
        <w:t>.  The Institute of Environmental Management and Assessment (IEMA) “</w:t>
      </w:r>
      <w:r w:rsidR="001875E1" w:rsidRPr="001875E1">
        <w:rPr>
          <w:i/>
          <w:iCs/>
        </w:rPr>
        <w:t>Guide to Materials and Waste in Environmental Impact Assessment. Guidance for a proportionate approach</w:t>
      </w:r>
      <w:r w:rsidR="001875E1">
        <w:t>”</w:t>
      </w:r>
      <w:r w:rsidR="002F2C50">
        <w:t xml:space="preserve"> </w:t>
      </w:r>
      <w:r w:rsidR="001875E1">
        <w:t>(IEMA Guidance) provides guidance on the key terms, concepts, and considerations for assessing the environmental impacts and effects of materials and waste, as part of the EIA process</w:t>
      </w:r>
    </w:p>
    <w:p w14:paraId="4DC9477D" w14:textId="77777777" w:rsidR="00D456A6" w:rsidRDefault="00D456A6" w:rsidP="00D456A6">
      <w:pPr>
        <w:pStyle w:val="Heading2"/>
      </w:pPr>
      <w:r>
        <w:t>Potential Effects</w:t>
      </w:r>
    </w:p>
    <w:p w14:paraId="3DC87647" w14:textId="2EAC3490" w:rsidR="00D456A6" w:rsidRPr="00EB28E7" w:rsidRDefault="00D456A6" w:rsidP="00D456A6">
      <w:pPr>
        <w:jc w:val="both"/>
        <w:rPr>
          <w:rFonts w:ascii="Arial" w:hAnsi="Arial" w:cs="Arial"/>
          <w:sz w:val="24"/>
          <w:szCs w:val="24"/>
        </w:rPr>
      </w:pPr>
      <w:r w:rsidRPr="00E10034">
        <w:rPr>
          <w:rFonts w:ascii="Arial" w:hAnsi="Arial" w:cs="Arial"/>
          <w:sz w:val="24"/>
          <w:szCs w:val="24"/>
        </w:rPr>
        <w:t xml:space="preserve">Likely significant effects of the development, as identified in the EIAR are summarised in Table </w:t>
      </w:r>
      <w:r w:rsidR="00C5134A">
        <w:rPr>
          <w:rFonts w:ascii="Arial" w:hAnsi="Arial" w:cs="Arial"/>
          <w:sz w:val="24"/>
          <w:szCs w:val="24"/>
        </w:rPr>
        <w:t>19</w:t>
      </w:r>
      <w:r w:rsidRPr="00E10034">
        <w:rPr>
          <w:rFonts w:ascii="Arial" w:hAnsi="Arial" w:cs="Arial"/>
          <w:sz w:val="24"/>
          <w:szCs w:val="24"/>
        </w:rPr>
        <w:t>.1 below.</w:t>
      </w:r>
    </w:p>
    <w:tbl>
      <w:tblPr>
        <w:tblStyle w:val="TableGrid"/>
        <w:tblW w:w="0" w:type="auto"/>
        <w:tblLook w:val="04A0" w:firstRow="1" w:lastRow="0" w:firstColumn="1" w:lastColumn="0" w:noHBand="0" w:noVBand="1"/>
      </w:tblPr>
      <w:tblGrid>
        <w:gridCol w:w="9016"/>
      </w:tblGrid>
      <w:tr w:rsidR="00D456A6" w:rsidRPr="00E10034" w14:paraId="7BD4FAFA" w14:textId="77777777" w:rsidTr="00673FA2">
        <w:tc>
          <w:tcPr>
            <w:tcW w:w="9016" w:type="dxa"/>
            <w:shd w:val="clear" w:color="auto" w:fill="BFBFBF" w:themeFill="background1" w:themeFillShade="BF"/>
          </w:tcPr>
          <w:p w14:paraId="4E6E62E6" w14:textId="6755E0F5" w:rsidR="00D456A6" w:rsidRPr="00F435BA" w:rsidRDefault="00D456A6" w:rsidP="00673FA2">
            <w:pPr>
              <w:tabs>
                <w:tab w:val="center" w:pos="4400"/>
              </w:tabs>
              <w:jc w:val="both"/>
              <w:rPr>
                <w:rFonts w:ascii="Arial" w:hAnsi="Arial" w:cs="Arial"/>
                <w:b/>
                <w:bCs/>
              </w:rPr>
            </w:pPr>
            <w:r w:rsidRPr="00F435BA">
              <w:rPr>
                <w:rFonts w:ascii="Arial" w:hAnsi="Arial" w:cs="Arial"/>
                <w:b/>
                <w:bCs/>
              </w:rPr>
              <w:t xml:space="preserve">Table </w:t>
            </w:r>
            <w:r w:rsidR="00C5134A" w:rsidRPr="00F435BA">
              <w:rPr>
                <w:rFonts w:ascii="Arial" w:hAnsi="Arial" w:cs="Arial"/>
                <w:b/>
                <w:bCs/>
              </w:rPr>
              <w:t>19</w:t>
            </w:r>
            <w:r w:rsidRPr="00F435BA">
              <w:rPr>
                <w:rFonts w:ascii="Arial" w:hAnsi="Arial" w:cs="Arial"/>
                <w:b/>
                <w:bCs/>
              </w:rPr>
              <w:t>.1:  Summary of Potential Effects (</w:t>
            </w:r>
            <w:r w:rsidR="002E0FDC" w:rsidRPr="00F435BA">
              <w:rPr>
                <w:rFonts w:ascii="Arial" w:hAnsi="Arial" w:cs="Arial"/>
                <w:b/>
                <w:bCs/>
              </w:rPr>
              <w:t>Waste Management</w:t>
            </w:r>
            <w:r w:rsidRPr="00F435BA">
              <w:rPr>
                <w:rFonts w:ascii="Arial" w:hAnsi="Arial" w:cs="Arial"/>
                <w:b/>
                <w:bCs/>
              </w:rPr>
              <w:t>)</w:t>
            </w:r>
          </w:p>
        </w:tc>
      </w:tr>
      <w:tr w:rsidR="00D456A6" w:rsidRPr="00E10034" w14:paraId="745BF994" w14:textId="77777777" w:rsidTr="00673FA2">
        <w:tc>
          <w:tcPr>
            <w:tcW w:w="9016" w:type="dxa"/>
            <w:shd w:val="clear" w:color="auto" w:fill="D9D9D9" w:themeFill="background1" w:themeFillShade="D9"/>
          </w:tcPr>
          <w:p w14:paraId="34AD3877" w14:textId="77777777" w:rsidR="00D456A6" w:rsidRPr="00F435BA" w:rsidRDefault="00D456A6" w:rsidP="00673FA2">
            <w:pPr>
              <w:tabs>
                <w:tab w:val="center" w:pos="4400"/>
              </w:tabs>
              <w:jc w:val="both"/>
              <w:rPr>
                <w:rFonts w:ascii="Arial" w:hAnsi="Arial" w:cs="Arial"/>
              </w:rPr>
            </w:pPr>
            <w:r w:rsidRPr="00F435BA">
              <w:rPr>
                <w:rFonts w:ascii="Arial" w:hAnsi="Arial" w:cs="Arial"/>
                <w:b/>
                <w:bCs/>
              </w:rPr>
              <w:t>Do Nothing</w:t>
            </w:r>
            <w:r w:rsidRPr="00F435BA">
              <w:rPr>
                <w:rFonts w:ascii="Arial" w:hAnsi="Arial" w:cs="Arial"/>
                <w:b/>
                <w:bCs/>
              </w:rPr>
              <w:tab/>
            </w:r>
          </w:p>
        </w:tc>
      </w:tr>
      <w:tr w:rsidR="00D456A6" w:rsidRPr="00E10034" w14:paraId="3A39EFD6" w14:textId="77777777" w:rsidTr="00673FA2">
        <w:tc>
          <w:tcPr>
            <w:tcW w:w="9016" w:type="dxa"/>
          </w:tcPr>
          <w:p w14:paraId="0782A67E" w14:textId="1578408B" w:rsidR="00D456A6" w:rsidRPr="00F435BA" w:rsidRDefault="002379F5" w:rsidP="00C6208E">
            <w:pPr>
              <w:pStyle w:val="ListParagraph"/>
              <w:numPr>
                <w:ilvl w:val="0"/>
                <w:numId w:val="41"/>
              </w:numPr>
              <w:spacing w:after="0" w:line="240" w:lineRule="auto"/>
              <w:jc w:val="both"/>
              <w:rPr>
                <w:sz w:val="22"/>
                <w:szCs w:val="22"/>
              </w:rPr>
            </w:pPr>
            <w:r w:rsidRPr="00F435BA">
              <w:rPr>
                <w:sz w:val="22"/>
                <w:szCs w:val="22"/>
              </w:rPr>
              <w:t>In a ‘Do Nothing’ scenario, there would be zero waste generation and disposal from the Proposed Development and no significant effects.</w:t>
            </w:r>
          </w:p>
        </w:tc>
      </w:tr>
      <w:tr w:rsidR="00D456A6" w:rsidRPr="00E10034" w14:paraId="7503B7C1" w14:textId="77777777" w:rsidTr="00673FA2">
        <w:tc>
          <w:tcPr>
            <w:tcW w:w="9016" w:type="dxa"/>
            <w:shd w:val="clear" w:color="auto" w:fill="D9D9D9" w:themeFill="background1" w:themeFillShade="D9"/>
          </w:tcPr>
          <w:p w14:paraId="5BB2CA32" w14:textId="77777777" w:rsidR="00D456A6" w:rsidRPr="00F435BA" w:rsidRDefault="00D456A6" w:rsidP="00673FA2">
            <w:pPr>
              <w:jc w:val="both"/>
              <w:rPr>
                <w:rFonts w:ascii="Arial" w:hAnsi="Arial" w:cs="Arial"/>
              </w:rPr>
            </w:pPr>
            <w:r w:rsidRPr="00F435BA">
              <w:rPr>
                <w:rFonts w:ascii="Arial" w:hAnsi="Arial" w:cs="Arial"/>
                <w:b/>
                <w:bCs/>
              </w:rPr>
              <w:t>Construction</w:t>
            </w:r>
          </w:p>
        </w:tc>
      </w:tr>
      <w:tr w:rsidR="00D456A6" w:rsidRPr="00E10034" w14:paraId="5592EBF0" w14:textId="77777777" w:rsidTr="00673FA2">
        <w:tc>
          <w:tcPr>
            <w:tcW w:w="9016" w:type="dxa"/>
          </w:tcPr>
          <w:p w14:paraId="1384426A" w14:textId="77777777" w:rsidR="00D456A6" w:rsidRPr="00F435BA" w:rsidRDefault="008C1BE1" w:rsidP="00C6208E">
            <w:pPr>
              <w:pStyle w:val="ListParagraph"/>
              <w:numPr>
                <w:ilvl w:val="0"/>
                <w:numId w:val="41"/>
              </w:numPr>
              <w:spacing w:after="0" w:line="240" w:lineRule="auto"/>
              <w:jc w:val="both"/>
              <w:rPr>
                <w:sz w:val="22"/>
                <w:szCs w:val="22"/>
              </w:rPr>
            </w:pPr>
            <w:r w:rsidRPr="00F435BA">
              <w:rPr>
                <w:sz w:val="22"/>
                <w:szCs w:val="22"/>
              </w:rPr>
              <w:t xml:space="preserve">The main construction phase impacts will be associated with the management of waste from: Demolition works (including removal of existing buildings, other </w:t>
            </w:r>
            <w:proofErr w:type="gramStart"/>
            <w:r w:rsidRPr="00F435BA">
              <w:rPr>
                <w:sz w:val="22"/>
                <w:szCs w:val="22"/>
              </w:rPr>
              <w:t>structures</w:t>
            </w:r>
            <w:proofErr w:type="gramEnd"/>
            <w:r w:rsidRPr="00F435BA">
              <w:rPr>
                <w:sz w:val="22"/>
                <w:szCs w:val="22"/>
              </w:rPr>
              <w:t xml:space="preserve"> and foundations). Site preparation and earthworks (including for new foundations and imported materials). Surplus or damaged construction materials; Packaging; Maintenance of plant and equipment used for construction; and Construction workforce activities.</w:t>
            </w:r>
          </w:p>
          <w:p w14:paraId="0AF80BF2" w14:textId="77777777" w:rsidR="0079750E" w:rsidRPr="00F435BA" w:rsidRDefault="00EC1FFA" w:rsidP="00C6208E">
            <w:pPr>
              <w:pStyle w:val="ListParagraph"/>
              <w:numPr>
                <w:ilvl w:val="0"/>
                <w:numId w:val="41"/>
              </w:numPr>
              <w:spacing w:after="0" w:line="240" w:lineRule="auto"/>
              <w:jc w:val="both"/>
              <w:rPr>
                <w:sz w:val="22"/>
                <w:szCs w:val="22"/>
              </w:rPr>
            </w:pPr>
            <w:r w:rsidRPr="00F435BA">
              <w:rPr>
                <w:sz w:val="22"/>
                <w:szCs w:val="22"/>
              </w:rPr>
              <w:lastRenderedPageBreak/>
              <w:t>Total estimated waste arising from the construction of the Proposed Development will account for</w:t>
            </w:r>
            <w:r w:rsidR="00E43F79" w:rsidRPr="00F435BA">
              <w:rPr>
                <w:sz w:val="22"/>
                <w:szCs w:val="22"/>
              </w:rPr>
              <w:t xml:space="preserve"> &lt;5%</w:t>
            </w:r>
            <w:r w:rsidR="0079750E" w:rsidRPr="00F435BA">
              <w:rPr>
                <w:sz w:val="22"/>
                <w:szCs w:val="22"/>
              </w:rPr>
              <w:t xml:space="preserve"> of national waste arisings (for the relevant categories of waste), this is assessed to result in a slight (not significant) effect and sufficient management capacity is expected to be available. </w:t>
            </w:r>
          </w:p>
          <w:p w14:paraId="30F69CF1" w14:textId="77777777" w:rsidR="0079750E" w:rsidRPr="00F435BA" w:rsidRDefault="0079750E" w:rsidP="00C6208E">
            <w:pPr>
              <w:pStyle w:val="ListParagraph"/>
              <w:numPr>
                <w:ilvl w:val="0"/>
                <w:numId w:val="41"/>
              </w:numPr>
              <w:spacing w:after="0" w:line="240" w:lineRule="auto"/>
              <w:jc w:val="both"/>
              <w:rPr>
                <w:sz w:val="22"/>
                <w:szCs w:val="22"/>
              </w:rPr>
            </w:pPr>
            <w:r w:rsidRPr="00F435BA">
              <w:rPr>
                <w:sz w:val="22"/>
                <w:szCs w:val="22"/>
              </w:rPr>
              <w:t xml:space="preserve">A total waste recovery rate of 78% in line with the national performance is likely to be achievable for non-hazardous construction and demolition waste (C&amp;D) (excluding naturally occurring soil and stones (Waste Code 17 05 04)) managed off-site. </w:t>
            </w:r>
            <w:proofErr w:type="gramStart"/>
            <w:r w:rsidRPr="00F435BA">
              <w:rPr>
                <w:sz w:val="22"/>
                <w:szCs w:val="22"/>
              </w:rPr>
              <w:t>The majority of</w:t>
            </w:r>
            <w:proofErr w:type="gramEnd"/>
            <w:r w:rsidRPr="00F435BA">
              <w:rPr>
                <w:sz w:val="22"/>
                <w:szCs w:val="22"/>
              </w:rPr>
              <w:t xml:space="preserve"> the good and best practice recovery rates for the main construction materials provided the Waste and Resources Action Programme are in excess of 90%. </w:t>
            </w:r>
          </w:p>
          <w:p w14:paraId="2AAD4DEB" w14:textId="68EEEC92" w:rsidR="001E159E" w:rsidRPr="00F435BA" w:rsidRDefault="0079750E" w:rsidP="00C6208E">
            <w:pPr>
              <w:pStyle w:val="ListParagraph"/>
              <w:numPr>
                <w:ilvl w:val="0"/>
                <w:numId w:val="41"/>
              </w:numPr>
              <w:spacing w:after="0" w:line="240" w:lineRule="auto"/>
              <w:jc w:val="both"/>
              <w:rPr>
                <w:sz w:val="22"/>
                <w:szCs w:val="22"/>
              </w:rPr>
            </w:pPr>
            <w:r w:rsidRPr="00F435BA">
              <w:rPr>
                <w:sz w:val="22"/>
                <w:szCs w:val="22"/>
              </w:rPr>
              <w:t>The Proposed Development is therefore likely to achieve 60-89% or 90-99% overall material recovery / recycling (by weight) of non-hazardous C&amp;D waste excluding naturally occurring material defined in category 17 05 04 in the List of Wastes. This is assessed to result in a slight (not significant) effect.</w:t>
            </w:r>
          </w:p>
        </w:tc>
      </w:tr>
      <w:tr w:rsidR="00D456A6" w:rsidRPr="00E10034" w14:paraId="39FC5372" w14:textId="77777777" w:rsidTr="00673FA2">
        <w:tc>
          <w:tcPr>
            <w:tcW w:w="9016" w:type="dxa"/>
            <w:shd w:val="clear" w:color="auto" w:fill="D9D9D9" w:themeFill="background1" w:themeFillShade="D9"/>
          </w:tcPr>
          <w:p w14:paraId="00723F8A" w14:textId="77777777" w:rsidR="00D456A6" w:rsidRPr="00F435BA" w:rsidRDefault="00D456A6" w:rsidP="00673FA2">
            <w:pPr>
              <w:jc w:val="both"/>
              <w:rPr>
                <w:rFonts w:ascii="Arial" w:hAnsi="Arial" w:cs="Arial"/>
              </w:rPr>
            </w:pPr>
            <w:r w:rsidRPr="00F435BA">
              <w:rPr>
                <w:rFonts w:ascii="Arial" w:hAnsi="Arial" w:cs="Arial"/>
                <w:b/>
                <w:bCs/>
              </w:rPr>
              <w:lastRenderedPageBreak/>
              <w:t>Operational Impacts</w:t>
            </w:r>
          </w:p>
        </w:tc>
      </w:tr>
      <w:tr w:rsidR="00D456A6" w:rsidRPr="00E10034" w14:paraId="79064701" w14:textId="77777777" w:rsidTr="00673FA2">
        <w:tc>
          <w:tcPr>
            <w:tcW w:w="9016" w:type="dxa"/>
          </w:tcPr>
          <w:p w14:paraId="4723FB8D" w14:textId="77777777" w:rsidR="006B34EA" w:rsidRPr="00F435BA" w:rsidRDefault="005E3DD6" w:rsidP="00C6208E">
            <w:pPr>
              <w:pStyle w:val="ListParagraph"/>
              <w:numPr>
                <w:ilvl w:val="0"/>
                <w:numId w:val="42"/>
              </w:numPr>
              <w:spacing w:after="0" w:line="240" w:lineRule="auto"/>
              <w:jc w:val="both"/>
              <w:rPr>
                <w:sz w:val="22"/>
                <w:szCs w:val="22"/>
              </w:rPr>
            </w:pPr>
            <w:r w:rsidRPr="00F435BA">
              <w:rPr>
                <w:sz w:val="22"/>
                <w:szCs w:val="22"/>
              </w:rPr>
              <w:t xml:space="preserve">The operational phase of the Proposed Development is expected to generate the following </w:t>
            </w:r>
            <w:proofErr w:type="gramStart"/>
            <w:r w:rsidRPr="00F435BA">
              <w:rPr>
                <w:sz w:val="22"/>
                <w:szCs w:val="22"/>
              </w:rPr>
              <w:t>waste</w:t>
            </w:r>
            <w:r w:rsidR="0056144F" w:rsidRPr="00F435BA">
              <w:rPr>
                <w:sz w:val="22"/>
                <w:szCs w:val="22"/>
              </w:rPr>
              <w:t>;</w:t>
            </w:r>
            <w:proofErr w:type="gramEnd"/>
            <w:r w:rsidRPr="00F435BA">
              <w:rPr>
                <w:sz w:val="22"/>
                <w:szCs w:val="22"/>
              </w:rPr>
              <w:t xml:space="preserve"> Small quantities of oils and chemicals (including lubrication oils, propane, ammonia, compressor cleaning detergent, general oils, and greases for rotating machinery); and Bottles and canisters from gases stored on site. </w:t>
            </w:r>
          </w:p>
          <w:p w14:paraId="2267892D" w14:textId="7D600EDF" w:rsidR="00D456A6" w:rsidRPr="00F435BA" w:rsidRDefault="005E3DD6" w:rsidP="00C6208E">
            <w:pPr>
              <w:pStyle w:val="ListParagraph"/>
              <w:numPr>
                <w:ilvl w:val="0"/>
                <w:numId w:val="42"/>
              </w:numPr>
              <w:spacing w:after="0" w:line="240" w:lineRule="auto"/>
              <w:jc w:val="both"/>
              <w:rPr>
                <w:sz w:val="22"/>
                <w:szCs w:val="22"/>
              </w:rPr>
            </w:pPr>
            <w:r w:rsidRPr="00F435BA">
              <w:rPr>
                <w:sz w:val="22"/>
                <w:szCs w:val="22"/>
              </w:rPr>
              <w:t xml:space="preserve">General commercial waste arising from these maintenance activities are expected to </w:t>
            </w:r>
            <w:proofErr w:type="gramStart"/>
            <w:r w:rsidRPr="00F435BA">
              <w:rPr>
                <w:sz w:val="22"/>
                <w:szCs w:val="22"/>
              </w:rPr>
              <w:t>include:</w:t>
            </w:r>
            <w:proofErr w:type="gramEnd"/>
            <w:r w:rsidRPr="00F435BA">
              <w:rPr>
                <w:sz w:val="22"/>
                <w:szCs w:val="22"/>
              </w:rPr>
              <w:t xml:space="preserve"> Office waste; Worker waste (including food waste); and Packaging. All operational wastes are expected to be </w:t>
            </w:r>
            <w:r w:rsidRPr="00F435BA">
              <w:rPr>
                <w:b/>
                <w:bCs/>
                <w:sz w:val="22"/>
                <w:szCs w:val="22"/>
              </w:rPr>
              <w:t>Negligible</w:t>
            </w:r>
            <w:r w:rsidRPr="00F435BA">
              <w:rPr>
                <w:sz w:val="22"/>
                <w:szCs w:val="22"/>
              </w:rPr>
              <w:t xml:space="preserve"> in the context of national waste arisings and significantly less than those arising from the construction of the Proposed Development.</w:t>
            </w:r>
          </w:p>
        </w:tc>
      </w:tr>
      <w:tr w:rsidR="00D456A6" w:rsidRPr="00E10034" w14:paraId="0405B814" w14:textId="77777777" w:rsidTr="00673FA2">
        <w:tc>
          <w:tcPr>
            <w:tcW w:w="9016" w:type="dxa"/>
            <w:shd w:val="clear" w:color="auto" w:fill="D9D9D9" w:themeFill="background1" w:themeFillShade="D9"/>
          </w:tcPr>
          <w:p w14:paraId="00DEF265" w14:textId="77777777" w:rsidR="00D456A6" w:rsidRPr="00F435BA" w:rsidRDefault="00D456A6" w:rsidP="00673FA2">
            <w:pPr>
              <w:jc w:val="both"/>
              <w:rPr>
                <w:rFonts w:ascii="Arial" w:hAnsi="Arial" w:cs="Arial"/>
              </w:rPr>
            </w:pPr>
            <w:r w:rsidRPr="00F435BA">
              <w:rPr>
                <w:rFonts w:ascii="Arial" w:hAnsi="Arial" w:cs="Arial"/>
                <w:b/>
                <w:bCs/>
              </w:rPr>
              <w:t>Decommissioning</w:t>
            </w:r>
          </w:p>
        </w:tc>
      </w:tr>
      <w:tr w:rsidR="00D456A6" w:rsidRPr="00E10034" w14:paraId="6E988CF0" w14:textId="77777777" w:rsidTr="00673FA2">
        <w:tc>
          <w:tcPr>
            <w:tcW w:w="9016" w:type="dxa"/>
          </w:tcPr>
          <w:p w14:paraId="6A739142" w14:textId="001C0459" w:rsidR="00D456A6" w:rsidRPr="00457982" w:rsidRDefault="00C233FD" w:rsidP="00457982">
            <w:pPr>
              <w:pStyle w:val="ListParagraph"/>
              <w:numPr>
                <w:ilvl w:val="0"/>
                <w:numId w:val="41"/>
              </w:numPr>
              <w:spacing w:after="0" w:line="240" w:lineRule="auto"/>
              <w:jc w:val="both"/>
              <w:rPr>
                <w:sz w:val="22"/>
                <w:szCs w:val="22"/>
              </w:rPr>
            </w:pPr>
            <w:r w:rsidRPr="00F435BA">
              <w:rPr>
                <w:sz w:val="22"/>
                <w:szCs w:val="22"/>
              </w:rPr>
              <w:t>The Proposed Development has a design life of approximately 25 years’ operation and as such, it is not possible to identify at this stage either the waste management routes or specific facilities that will be used, as these are liable to change over such a timescale.</w:t>
            </w:r>
            <w:r w:rsidR="00700A9B">
              <w:rPr>
                <w:sz w:val="22"/>
                <w:szCs w:val="22"/>
              </w:rPr>
              <w:t xml:space="preserve">  Decommissioning will be carried out in line with a DEMP.</w:t>
            </w:r>
          </w:p>
        </w:tc>
      </w:tr>
      <w:tr w:rsidR="00D456A6" w:rsidRPr="00E10034" w14:paraId="28B1A0A9" w14:textId="77777777" w:rsidTr="00673FA2">
        <w:tc>
          <w:tcPr>
            <w:tcW w:w="9016" w:type="dxa"/>
            <w:shd w:val="clear" w:color="auto" w:fill="D9D9D9" w:themeFill="background1" w:themeFillShade="D9"/>
          </w:tcPr>
          <w:p w14:paraId="6D63CCB8" w14:textId="77777777" w:rsidR="00D456A6" w:rsidRPr="00F435BA" w:rsidRDefault="00D456A6" w:rsidP="00673FA2">
            <w:pPr>
              <w:jc w:val="both"/>
              <w:rPr>
                <w:rFonts w:ascii="Arial" w:hAnsi="Arial" w:cs="Arial"/>
              </w:rPr>
            </w:pPr>
            <w:r w:rsidRPr="00F435BA">
              <w:rPr>
                <w:rFonts w:ascii="Arial" w:hAnsi="Arial" w:cs="Arial"/>
                <w:b/>
                <w:bCs/>
              </w:rPr>
              <w:t>Cumulative Impacts</w:t>
            </w:r>
          </w:p>
        </w:tc>
      </w:tr>
      <w:tr w:rsidR="00D456A6" w:rsidRPr="00E10034" w14:paraId="18BA4E29" w14:textId="77777777" w:rsidTr="00673FA2">
        <w:tc>
          <w:tcPr>
            <w:tcW w:w="9016" w:type="dxa"/>
          </w:tcPr>
          <w:p w14:paraId="416D49F0" w14:textId="44A31340" w:rsidR="00D456A6" w:rsidRPr="00F435BA" w:rsidRDefault="00700A9B" w:rsidP="00C6208E">
            <w:pPr>
              <w:pStyle w:val="ListParagraph"/>
              <w:numPr>
                <w:ilvl w:val="0"/>
                <w:numId w:val="43"/>
              </w:numPr>
              <w:spacing w:after="0" w:line="240" w:lineRule="auto"/>
              <w:jc w:val="both"/>
              <w:rPr>
                <w:sz w:val="22"/>
                <w:szCs w:val="22"/>
              </w:rPr>
            </w:pPr>
            <w:r>
              <w:rPr>
                <w:sz w:val="22"/>
                <w:szCs w:val="22"/>
              </w:rPr>
              <w:t>T</w:t>
            </w:r>
            <w:r w:rsidR="00C2276E" w:rsidRPr="00F435BA">
              <w:rPr>
                <w:sz w:val="22"/>
                <w:szCs w:val="22"/>
              </w:rPr>
              <w:t>he quantity of waste generated by the Proposed Development will be minimal, resulting in no likely significant effects</w:t>
            </w:r>
            <w:r w:rsidR="00E87363">
              <w:rPr>
                <w:sz w:val="22"/>
                <w:szCs w:val="22"/>
              </w:rPr>
              <w:t xml:space="preserve"> and no cumulative impacts</w:t>
            </w:r>
            <w:r>
              <w:rPr>
                <w:sz w:val="22"/>
                <w:szCs w:val="22"/>
              </w:rPr>
              <w:t>.</w:t>
            </w:r>
          </w:p>
        </w:tc>
      </w:tr>
    </w:tbl>
    <w:p w14:paraId="68FCD4D9" w14:textId="77777777" w:rsidR="00D456A6" w:rsidRDefault="00D456A6" w:rsidP="00D456A6">
      <w:pPr>
        <w:pStyle w:val="Heading2"/>
      </w:pPr>
      <w:r>
        <w:t>Mitigation</w:t>
      </w:r>
    </w:p>
    <w:p w14:paraId="73785394" w14:textId="77777777" w:rsidR="002462F6" w:rsidRDefault="002462F6" w:rsidP="002462F6">
      <w:pPr>
        <w:pStyle w:val="BBody1"/>
        <w:numPr>
          <w:ilvl w:val="0"/>
          <w:numId w:val="0"/>
        </w:numPr>
        <w:jc w:val="both"/>
      </w:pPr>
      <w:r>
        <w:t>The Resource and Waste Management Plan (RWMP) and Construction Environmental Management Plan (CEMP) include design and construction measures that apply the waste hierarchy principles and minimise effects on waste. These measures will be implemented in full to achieve the recovery rates noted. As no significant waste effects have been identified, no further or additional mitigation or monitoring of significant effects is proposed.</w:t>
      </w:r>
    </w:p>
    <w:p w14:paraId="7D7905AA" w14:textId="5DC897E7" w:rsidR="00D456A6" w:rsidRDefault="00D456A6" w:rsidP="00D456A6">
      <w:pPr>
        <w:pStyle w:val="Heading2"/>
      </w:pPr>
      <w:r>
        <w:t>Residual Effects</w:t>
      </w:r>
    </w:p>
    <w:p w14:paraId="26DB4C50" w14:textId="6ABF73F7" w:rsidR="00D456A6" w:rsidRPr="00680AAF" w:rsidRDefault="00F444E1" w:rsidP="008841DE">
      <w:pPr>
        <w:pStyle w:val="BBody1"/>
        <w:numPr>
          <w:ilvl w:val="0"/>
          <w:numId w:val="0"/>
        </w:numPr>
        <w:jc w:val="both"/>
      </w:pPr>
      <w:r>
        <w:t xml:space="preserve">No significant waste effects have been identified </w:t>
      </w:r>
      <w:r w:rsidR="00FF502F">
        <w:t xml:space="preserve">and </w:t>
      </w:r>
      <w:r w:rsidR="008841DE">
        <w:t>no residual effects</w:t>
      </w:r>
      <w:r w:rsidR="00FF502F">
        <w:t>.</w:t>
      </w:r>
    </w:p>
    <w:p w14:paraId="460B4EC9" w14:textId="77777777" w:rsidR="00D456A6" w:rsidRPr="00D37EA0" w:rsidRDefault="00D456A6" w:rsidP="00D456A6">
      <w:pPr>
        <w:pStyle w:val="Heading2"/>
      </w:pPr>
      <w:r w:rsidRPr="00D37EA0">
        <w:lastRenderedPageBreak/>
        <w:t>The Assessment:  Direct and Indirect Effects</w:t>
      </w:r>
    </w:p>
    <w:p w14:paraId="11E57C67" w14:textId="2BFC5297" w:rsidR="00010624" w:rsidRDefault="00D37EA0" w:rsidP="006B1DBE">
      <w:pPr>
        <w:pStyle w:val="BBody1"/>
        <w:numPr>
          <w:ilvl w:val="0"/>
          <w:numId w:val="0"/>
        </w:numPr>
        <w:jc w:val="both"/>
      </w:pPr>
      <w:r w:rsidRPr="00D37EA0">
        <w:t xml:space="preserve">Total </w:t>
      </w:r>
      <w:r>
        <w:t xml:space="preserve">waste arising from the construction of the proposed development will account for </w:t>
      </w:r>
      <w:r w:rsidR="00BD472A">
        <w:t xml:space="preserve">&lt;5% of national waste arisings (for the relevant categories of waste).  </w:t>
      </w:r>
      <w:r w:rsidR="00DD014A">
        <w:t>The proposed development is likely to achieve 60-89% or 90-99</w:t>
      </w:r>
      <w:r w:rsidR="006B1DBE">
        <w:t xml:space="preserve">% overall material recovery/ recycling of non- hazardous C&amp;D waste.  I consider </w:t>
      </w:r>
      <w:r w:rsidR="00AE130E">
        <w:t xml:space="preserve">-the </w:t>
      </w:r>
      <w:r w:rsidR="006B1DBE">
        <w:t>impact</w:t>
      </w:r>
      <w:r w:rsidR="00AE130E">
        <w:t xml:space="preserve"> in terms of waste generation</w:t>
      </w:r>
      <w:r w:rsidR="006B1DBE">
        <w:t xml:space="preserve"> will not be significant.</w:t>
      </w:r>
      <w:r w:rsidR="003018B7">
        <w:t xml:space="preserve">  </w:t>
      </w:r>
    </w:p>
    <w:p w14:paraId="69198AA2" w14:textId="0764CB1C" w:rsidR="009A2F4A" w:rsidRDefault="003018B7" w:rsidP="006B1DBE">
      <w:pPr>
        <w:pStyle w:val="BBody1"/>
        <w:numPr>
          <w:ilvl w:val="0"/>
          <w:numId w:val="0"/>
        </w:numPr>
        <w:jc w:val="both"/>
      </w:pPr>
      <w:r>
        <w:t xml:space="preserve">A </w:t>
      </w:r>
      <w:r w:rsidR="00D077FD">
        <w:t xml:space="preserve">condition in relation to a </w:t>
      </w:r>
      <w:r>
        <w:t xml:space="preserve">Resource and Waste Management Plan (RWMP) and </w:t>
      </w:r>
      <w:r w:rsidR="00010624">
        <w:t>CEMP</w:t>
      </w:r>
      <w:r>
        <w:t xml:space="preserve"> will</w:t>
      </w:r>
      <w:r w:rsidR="00366096">
        <w:t xml:space="preserve"> ensure the</w:t>
      </w:r>
      <w:r>
        <w:t xml:space="preserve"> incl</w:t>
      </w:r>
      <w:r w:rsidR="00366096">
        <w:t>usion of</w:t>
      </w:r>
      <w:r>
        <w:t xml:space="preserve"> design and construction measures that apply the waste hierarchy principles and minimise effects on waste. These measures will be implemented in full to achieve the recovery rates noted.</w:t>
      </w:r>
      <w:r w:rsidR="00D077FD">
        <w:t xml:space="preserve">  </w:t>
      </w:r>
    </w:p>
    <w:p w14:paraId="3F45E109" w14:textId="798674A9" w:rsidR="00670625" w:rsidRDefault="00670625" w:rsidP="006B1DBE">
      <w:pPr>
        <w:pStyle w:val="BBody1"/>
        <w:numPr>
          <w:ilvl w:val="0"/>
          <w:numId w:val="0"/>
        </w:numPr>
        <w:jc w:val="both"/>
      </w:pPr>
      <w:r>
        <w:t>Small amounts of</w:t>
      </w:r>
      <w:r w:rsidR="00FC7084">
        <w:t xml:space="preserve"> o</w:t>
      </w:r>
      <w:r>
        <w:t xml:space="preserve">perational waste will be generated </w:t>
      </w:r>
      <w:r w:rsidR="008E625E">
        <w:t xml:space="preserve">due to occasional disposal, </w:t>
      </w:r>
      <w:proofErr w:type="gramStart"/>
      <w:r w:rsidR="008E625E">
        <w:t>maintenance</w:t>
      </w:r>
      <w:proofErr w:type="gramEnd"/>
      <w:r w:rsidR="008E625E">
        <w:t xml:space="preserve"> and repair</w:t>
      </w:r>
      <w:r w:rsidR="00723CAE">
        <w:t>.  I consider that this will not have</w:t>
      </w:r>
      <w:r w:rsidR="007D518A">
        <w:t xml:space="preserve"> any significant adverse impacts.</w:t>
      </w:r>
    </w:p>
    <w:p w14:paraId="3ADA57ED" w14:textId="0E913783" w:rsidR="00D456A6" w:rsidRDefault="006C6570" w:rsidP="00D456A6">
      <w:pPr>
        <w:pStyle w:val="BBody1"/>
        <w:numPr>
          <w:ilvl w:val="0"/>
          <w:numId w:val="0"/>
        </w:numPr>
        <w:jc w:val="both"/>
      </w:pPr>
      <w:r>
        <w:t xml:space="preserve">Where decommissioning takes place, all above-ground components associated with the Proposed Development will be disassembled and removed from the Site. The waste types generated from this are likely to be similar or of a lesser magnitude than the construction effects. </w:t>
      </w:r>
    </w:p>
    <w:p w14:paraId="7A757DF8" w14:textId="07C7E1A4" w:rsidR="00A46B97" w:rsidRPr="00D37EA0" w:rsidRDefault="00A46B97" w:rsidP="00D456A6">
      <w:pPr>
        <w:pStyle w:val="BBody1"/>
        <w:numPr>
          <w:ilvl w:val="0"/>
          <w:numId w:val="0"/>
        </w:numPr>
        <w:jc w:val="both"/>
      </w:pPr>
      <w:r>
        <w:t xml:space="preserve">Waste will be generated during all Phases of the development as described above.  I am satisfied that significant adverse impacts in relation to waste will be mitigated through the preparation and implementation of a </w:t>
      </w:r>
      <w:r w:rsidR="004522D9">
        <w:t xml:space="preserve">RWMP and </w:t>
      </w:r>
      <w:r>
        <w:t>compliance with Mitigation Measures contained within the EIAR, compliance with the Final CEMP for the site</w:t>
      </w:r>
      <w:r w:rsidR="00E02687">
        <w:t>, DEMP for decommissioning</w:t>
      </w:r>
      <w:r>
        <w:t xml:space="preserve"> and compliance with the terms of any IE Licence.</w:t>
      </w:r>
    </w:p>
    <w:p w14:paraId="656BEFF1" w14:textId="1A2807BA" w:rsidR="00D456A6" w:rsidRDefault="00D456A6" w:rsidP="00D456A6">
      <w:pPr>
        <w:pStyle w:val="Heading2"/>
      </w:pPr>
      <w:r w:rsidRPr="00D37EA0">
        <w:t>Conclusion:  Direct and Indirect Effects (</w:t>
      </w:r>
      <w:r w:rsidR="00CB030F" w:rsidRPr="00D37EA0">
        <w:t>Wa</w:t>
      </w:r>
      <w:r w:rsidR="00E02687">
        <w:t>s</w:t>
      </w:r>
      <w:r w:rsidR="00CB030F" w:rsidRPr="00D37EA0">
        <w:t>te Management</w:t>
      </w:r>
      <w:r w:rsidRPr="00D37EA0">
        <w:t>)</w:t>
      </w:r>
    </w:p>
    <w:p w14:paraId="0BCE63DD" w14:textId="48E012D2" w:rsidR="00965500" w:rsidRDefault="00741F36" w:rsidP="004522D9">
      <w:pPr>
        <w:pStyle w:val="BBody1"/>
        <w:numPr>
          <w:ilvl w:val="0"/>
          <w:numId w:val="0"/>
        </w:numPr>
        <w:jc w:val="both"/>
      </w:pPr>
      <w:r>
        <w:t>Waste arising from the proposed development would be managed in accordance with all relevant waste management regulations.  I am satisfied that Waste has been appropriately addressed and no significant adverse effect is likely to arise.</w:t>
      </w:r>
    </w:p>
    <w:p w14:paraId="7D59ACC1" w14:textId="03F07682" w:rsidR="00D456A6" w:rsidRDefault="00A533F8" w:rsidP="00D456A6">
      <w:pPr>
        <w:pStyle w:val="EHead1"/>
      </w:pPr>
      <w:bookmarkStart w:id="58" w:name="_Toc171346798"/>
      <w:r>
        <w:lastRenderedPageBreak/>
        <w:t>Major Accidents and Disasters</w:t>
      </w:r>
      <w:bookmarkEnd w:id="58"/>
      <w:r w:rsidR="00B916D7">
        <w:t xml:space="preserve"> </w:t>
      </w:r>
    </w:p>
    <w:p w14:paraId="7445708E" w14:textId="77777777" w:rsidR="00D456A6" w:rsidRDefault="00D456A6" w:rsidP="00990F12">
      <w:pPr>
        <w:pStyle w:val="Heading2"/>
        <w:jc w:val="both"/>
      </w:pPr>
      <w:r w:rsidRPr="00C6383B">
        <w:t>Issues Raised</w:t>
      </w:r>
    </w:p>
    <w:p w14:paraId="24924213" w14:textId="785FA7F7" w:rsidR="00965500" w:rsidRPr="004F22F4" w:rsidRDefault="004C24F9" w:rsidP="00003DC1">
      <w:pPr>
        <w:pStyle w:val="BBody1"/>
        <w:numPr>
          <w:ilvl w:val="0"/>
          <w:numId w:val="0"/>
        </w:numPr>
        <w:jc w:val="both"/>
      </w:pPr>
      <w:r>
        <w:t xml:space="preserve">The HSA has noted that </w:t>
      </w:r>
      <w:proofErr w:type="gramStart"/>
      <w:r>
        <w:t>on the basis of</w:t>
      </w:r>
      <w:proofErr w:type="gramEnd"/>
      <w:r>
        <w:t xml:space="preserve"> the information </w:t>
      </w:r>
      <w:r w:rsidR="00990F12">
        <w:t xml:space="preserve">supplied, the Authority doesn’t advise against the granting of planning permission in the context of major accident hazards.  </w:t>
      </w:r>
      <w:r w:rsidR="0048645D">
        <w:t xml:space="preserve">The HSE </w:t>
      </w:r>
      <w:r w:rsidR="004B18D8">
        <w:t>in relation to Emergency Management</w:t>
      </w:r>
      <w:r w:rsidR="0037313D">
        <w:t xml:space="preserve"> has made recommendations within the context of site operations</w:t>
      </w:r>
      <w:r w:rsidR="002A4B4D">
        <w:t xml:space="preserve"> </w:t>
      </w:r>
      <w:r w:rsidR="00996984">
        <w:t xml:space="preserve">including in the event of </w:t>
      </w:r>
      <w:r w:rsidR="002A4B4D">
        <w:t xml:space="preserve">an incident </w:t>
      </w:r>
      <w:r w:rsidR="000C0FFA">
        <w:t>occurring</w:t>
      </w:r>
      <w:r w:rsidR="002A4B4D">
        <w:t xml:space="preserve"> on the site.</w:t>
      </w:r>
      <w:r w:rsidR="0081265E">
        <w:t xml:space="preserve">  The applicant has noted that these will be included in the Emergency Response Plan referred to in Section 19.8 of the EIAR</w:t>
      </w:r>
      <w:r w:rsidR="00996984">
        <w:t xml:space="preserve">.  </w:t>
      </w:r>
      <w:r w:rsidR="00E02687">
        <w:t xml:space="preserve"> </w:t>
      </w:r>
      <w:r w:rsidR="00965500">
        <w:t xml:space="preserve">The EPA notes that the licence for the </w:t>
      </w:r>
      <w:r w:rsidR="00214C32">
        <w:t xml:space="preserve">site </w:t>
      </w:r>
      <w:r w:rsidR="00965500">
        <w:t xml:space="preserve">may need to be reviewed or amended to accommodate the changes proposed in the planning application.  The EPA also notes that it cannot issue </w:t>
      </w:r>
      <w:r w:rsidR="0096708A">
        <w:t>a</w:t>
      </w:r>
      <w:r w:rsidR="00965500">
        <w:t xml:space="preserve"> Proposed Determination on a licence application until a planning decision has been made.</w:t>
      </w:r>
    </w:p>
    <w:p w14:paraId="2A0AA164" w14:textId="77777777" w:rsidR="00D456A6" w:rsidRDefault="00D456A6" w:rsidP="00345CB7">
      <w:pPr>
        <w:pStyle w:val="Heading2"/>
      </w:pPr>
      <w:r w:rsidRPr="00302D10">
        <w:t>Context</w:t>
      </w:r>
    </w:p>
    <w:p w14:paraId="23114F1A" w14:textId="7B78EDC8" w:rsidR="00B829C5" w:rsidRDefault="005E0BDD" w:rsidP="00A47652">
      <w:pPr>
        <w:pStyle w:val="BBody1"/>
        <w:numPr>
          <w:ilvl w:val="0"/>
          <w:numId w:val="0"/>
        </w:numPr>
        <w:jc w:val="both"/>
      </w:pPr>
      <w:r>
        <w:t>EIAR Chapter 19 with associated Appendix 1</w:t>
      </w:r>
      <w:r w:rsidR="00372EC9">
        <w:t>9</w:t>
      </w:r>
      <w:r>
        <w:t>A (</w:t>
      </w:r>
      <w:r w:rsidR="00372EC9">
        <w:t>Technical Land Use</w:t>
      </w:r>
      <w:r>
        <w:t xml:space="preserve"> Plan) has </w:t>
      </w:r>
      <w:r w:rsidR="000C0B9C">
        <w:t>dealt with Major Accidents and Disasters</w:t>
      </w:r>
      <w:r w:rsidR="00316EB5">
        <w:t xml:space="preserve"> (M</w:t>
      </w:r>
      <w:r w:rsidR="00313EE6">
        <w:t>A&amp;Ds)</w:t>
      </w:r>
      <w:r w:rsidR="000C0B9C">
        <w:t>.</w:t>
      </w:r>
      <w:r>
        <w:t xml:space="preserve">  </w:t>
      </w:r>
      <w:r w:rsidR="00B829C5">
        <w:t xml:space="preserve">It is a requirement of all </w:t>
      </w:r>
      <w:r w:rsidR="00E02687">
        <w:t xml:space="preserve">EIARs </w:t>
      </w:r>
      <w:r w:rsidR="00B829C5">
        <w:t>to incorporate a section which identifies and describes the potential major accidents and natural disasters which could occur at the Proposed Development. These types of events have a very low probability of occurring, but if they do, the impact could be significant, with consequences such as serious harm to people and / or widespread damage to property and the environment.</w:t>
      </w:r>
    </w:p>
    <w:p w14:paraId="74DE4D3F" w14:textId="6A146492" w:rsidR="00D456A6" w:rsidRPr="004F22F4" w:rsidRDefault="007B2CFD" w:rsidP="00A47652">
      <w:pPr>
        <w:pStyle w:val="BBody1"/>
        <w:numPr>
          <w:ilvl w:val="0"/>
          <w:numId w:val="0"/>
        </w:numPr>
        <w:jc w:val="both"/>
      </w:pPr>
      <w:r w:rsidRPr="007B2CFD">
        <w:t>The EIAR describe</w:t>
      </w:r>
      <w:r w:rsidR="00C33EE0">
        <w:t>s</w:t>
      </w:r>
      <w:r w:rsidRPr="007B2CFD">
        <w:t xml:space="preserve"> the </w:t>
      </w:r>
      <w:r w:rsidR="00A454E9">
        <w:t>r</w:t>
      </w:r>
      <w:r w:rsidRPr="007B2CFD">
        <w:t xml:space="preserve">egulatory and </w:t>
      </w:r>
      <w:r w:rsidR="00A454E9">
        <w:t>p</w:t>
      </w:r>
      <w:r w:rsidRPr="007B2CFD">
        <w:t xml:space="preserve">olicy </w:t>
      </w:r>
      <w:r w:rsidR="00280AF6">
        <w:t>f</w:t>
      </w:r>
      <w:r w:rsidRPr="007B2CFD">
        <w:t xml:space="preserve">ramework, the </w:t>
      </w:r>
      <w:r w:rsidR="00C33EE0">
        <w:t>m</w:t>
      </w:r>
      <w:r w:rsidRPr="007B2CFD">
        <w:t xml:space="preserve">ethodology utilised, the </w:t>
      </w:r>
      <w:r w:rsidR="00507772">
        <w:t>proposed development and study area</w:t>
      </w:r>
      <w:r w:rsidR="00A47652">
        <w:t>, impacts, mitigation measures, emergency management and cumulative effects.</w:t>
      </w:r>
      <w:r w:rsidR="0005678D">
        <w:t xml:space="preserve">  The MA&amp;Ds are assessed to determine the potential impact on Population and human health, Biodiversity, Land, soil, water, air and climate, Property and material assets, cultural heritage, and the landscape.</w:t>
      </w:r>
    </w:p>
    <w:p w14:paraId="0F465483" w14:textId="77777777" w:rsidR="00D456A6" w:rsidRDefault="00D456A6" w:rsidP="00345CB7">
      <w:pPr>
        <w:pStyle w:val="Heading2"/>
      </w:pPr>
      <w:r>
        <w:t>Baseline</w:t>
      </w:r>
    </w:p>
    <w:p w14:paraId="1824EB5A" w14:textId="7C03884F" w:rsidR="00D456A6" w:rsidRPr="00345CB7" w:rsidRDefault="00345CB7" w:rsidP="000F493F">
      <w:pPr>
        <w:pStyle w:val="BBody1"/>
        <w:numPr>
          <w:ilvl w:val="0"/>
          <w:numId w:val="0"/>
        </w:numPr>
        <w:jc w:val="both"/>
      </w:pPr>
      <w:r w:rsidRPr="00345CB7">
        <w:rPr>
          <w:rStyle w:val="BBody1Char"/>
        </w:rPr>
        <w:t xml:space="preserve">The Proposed Development will be constructed within the boundary of the existing SSE Tarbert site, which has been in operation for many years. </w:t>
      </w:r>
      <w:r w:rsidR="00A949C9">
        <w:rPr>
          <w:rStyle w:val="BBody1Char"/>
        </w:rPr>
        <w:t xml:space="preserve"> </w:t>
      </w:r>
      <w:r w:rsidRPr="00345CB7">
        <w:rPr>
          <w:rStyle w:val="BBody1Char"/>
        </w:rPr>
        <w:t xml:space="preserve">The new facilities which comprise the Proposed Development will not operate continuously; it will only be </w:t>
      </w:r>
      <w:r w:rsidRPr="00345CB7">
        <w:rPr>
          <w:rStyle w:val="BBody1Char"/>
        </w:rPr>
        <w:lastRenderedPageBreak/>
        <w:t>operated when other sources of electricity generation are unable to meet demand</w:t>
      </w:r>
      <w:r w:rsidRPr="00345CB7">
        <w:t>.</w:t>
      </w:r>
      <w:r w:rsidR="006C1A8A">
        <w:t xml:space="preserve">  Review of the potential accident scenarios which involves the substances used during the construction and operational phases was carried out. The assessment included identifying </w:t>
      </w:r>
      <w:proofErr w:type="gramStart"/>
      <w:r w:rsidR="006C1A8A">
        <w:t>the means by which</w:t>
      </w:r>
      <w:proofErr w:type="gramEnd"/>
      <w:r w:rsidR="006C1A8A">
        <w:t xml:space="preserve"> a loss of containment may occur and assessing the likely significance of a release on human health, safety and the environment.</w:t>
      </w:r>
      <w:r w:rsidR="00406F6F">
        <w:t xml:space="preserve"> The conclusions of the assessment of substances are that the main substances which will be present at the Proposed Development with the potential to initiate a credible Risk Events are HVO, Distillate, Fuel and Liquefied Petroleum Gas (LPG). The distillate fuel will not be used as part of the Proposed Development but will be stored on the SSE Tarbert site to be used as fuel for the TEG plant, which is expected to be operational from 2024 until 2028/2029, and therefore will overlap with the construction of the Proposed Development</w:t>
      </w:r>
      <w:r w:rsidR="00E02687">
        <w:t>.</w:t>
      </w:r>
      <w:r w:rsidR="00406F6F">
        <w:t xml:space="preserve"> </w:t>
      </w:r>
      <w:r w:rsidR="00E02687">
        <w:t xml:space="preserve"> </w:t>
      </w:r>
      <w:r w:rsidR="00406F6F">
        <w:t>There are well established engineering design, manufacturing, and construction standards for the specification of equipment and pipework on facilities such as the Proposed Development which store and use hazardous substances. Operational, inspection and maintenance procedures will all be in place following construction to ensure that the risk of a loss of containment is reduced to the very low levels which are required for compliance with legislation.</w:t>
      </w:r>
    </w:p>
    <w:p w14:paraId="5B65934A" w14:textId="77777777" w:rsidR="00D456A6" w:rsidRDefault="00D456A6" w:rsidP="00D456A6">
      <w:pPr>
        <w:pStyle w:val="Heading2"/>
      </w:pPr>
      <w:r>
        <w:t>Potential Effects</w:t>
      </w:r>
    </w:p>
    <w:p w14:paraId="62D0758B" w14:textId="6EB9BE50" w:rsidR="00D456A6" w:rsidRPr="00EB28E7" w:rsidRDefault="00D456A6" w:rsidP="00D456A6">
      <w:pPr>
        <w:jc w:val="both"/>
        <w:rPr>
          <w:rFonts w:ascii="Arial" w:hAnsi="Arial" w:cs="Arial"/>
          <w:sz w:val="24"/>
          <w:szCs w:val="24"/>
        </w:rPr>
      </w:pPr>
      <w:r w:rsidRPr="00E10034">
        <w:rPr>
          <w:rFonts w:ascii="Arial" w:hAnsi="Arial" w:cs="Arial"/>
          <w:sz w:val="24"/>
          <w:szCs w:val="24"/>
        </w:rPr>
        <w:t xml:space="preserve">Likely significant effects of the development, as identified in the EIAR are summarised in Table </w:t>
      </w:r>
      <w:r w:rsidR="00A533F8">
        <w:rPr>
          <w:rFonts w:ascii="Arial" w:hAnsi="Arial" w:cs="Arial"/>
          <w:sz w:val="24"/>
          <w:szCs w:val="24"/>
        </w:rPr>
        <w:t>2</w:t>
      </w:r>
      <w:r w:rsidR="00F3019B">
        <w:rPr>
          <w:rFonts w:ascii="Arial" w:hAnsi="Arial" w:cs="Arial"/>
          <w:sz w:val="24"/>
          <w:szCs w:val="24"/>
        </w:rPr>
        <w:t>0</w:t>
      </w:r>
      <w:r w:rsidRPr="00E10034">
        <w:rPr>
          <w:rFonts w:ascii="Arial" w:hAnsi="Arial" w:cs="Arial"/>
          <w:sz w:val="24"/>
          <w:szCs w:val="24"/>
        </w:rPr>
        <w:t>.1 below.</w:t>
      </w:r>
    </w:p>
    <w:tbl>
      <w:tblPr>
        <w:tblStyle w:val="TableGrid"/>
        <w:tblW w:w="0" w:type="auto"/>
        <w:tblLook w:val="04A0" w:firstRow="1" w:lastRow="0" w:firstColumn="1" w:lastColumn="0" w:noHBand="0" w:noVBand="1"/>
      </w:tblPr>
      <w:tblGrid>
        <w:gridCol w:w="9016"/>
      </w:tblGrid>
      <w:tr w:rsidR="00D456A6" w:rsidRPr="00E10034" w14:paraId="3DACA29D" w14:textId="77777777" w:rsidTr="00673FA2">
        <w:tc>
          <w:tcPr>
            <w:tcW w:w="9016" w:type="dxa"/>
            <w:shd w:val="clear" w:color="auto" w:fill="BFBFBF" w:themeFill="background1" w:themeFillShade="BF"/>
          </w:tcPr>
          <w:p w14:paraId="723A3268" w14:textId="7A2BAC96" w:rsidR="00D456A6" w:rsidRPr="002A7D84" w:rsidRDefault="00D456A6" w:rsidP="00673FA2">
            <w:pPr>
              <w:tabs>
                <w:tab w:val="center" w:pos="4400"/>
              </w:tabs>
              <w:jc w:val="both"/>
              <w:rPr>
                <w:rFonts w:ascii="Arial" w:hAnsi="Arial" w:cs="Arial"/>
                <w:b/>
                <w:bCs/>
              </w:rPr>
            </w:pPr>
            <w:r w:rsidRPr="002A7D84">
              <w:rPr>
                <w:rFonts w:ascii="Arial" w:hAnsi="Arial" w:cs="Arial"/>
                <w:b/>
                <w:bCs/>
              </w:rPr>
              <w:t xml:space="preserve">Table </w:t>
            </w:r>
            <w:r w:rsidR="00A533F8" w:rsidRPr="002A7D84">
              <w:rPr>
                <w:rFonts w:ascii="Arial" w:hAnsi="Arial" w:cs="Arial"/>
                <w:b/>
                <w:bCs/>
              </w:rPr>
              <w:t>2</w:t>
            </w:r>
            <w:r w:rsidR="00F3019B" w:rsidRPr="002A7D84">
              <w:rPr>
                <w:rFonts w:ascii="Arial" w:hAnsi="Arial" w:cs="Arial"/>
                <w:b/>
                <w:bCs/>
              </w:rPr>
              <w:t>0</w:t>
            </w:r>
            <w:r w:rsidRPr="002A7D84">
              <w:rPr>
                <w:rFonts w:ascii="Arial" w:hAnsi="Arial" w:cs="Arial"/>
                <w:b/>
                <w:bCs/>
              </w:rPr>
              <w:t>.1:  Summary of Potential Effects (</w:t>
            </w:r>
            <w:r w:rsidR="00A533F8" w:rsidRPr="002A7D84">
              <w:rPr>
                <w:rFonts w:ascii="Arial" w:hAnsi="Arial" w:cs="Arial"/>
                <w:b/>
                <w:bCs/>
              </w:rPr>
              <w:t>Major Accidents and Disasters</w:t>
            </w:r>
            <w:r w:rsidRPr="002A7D84">
              <w:rPr>
                <w:rFonts w:ascii="Arial" w:hAnsi="Arial" w:cs="Arial"/>
                <w:b/>
                <w:bCs/>
              </w:rPr>
              <w:t>)</w:t>
            </w:r>
          </w:p>
        </w:tc>
      </w:tr>
      <w:tr w:rsidR="00D456A6" w:rsidRPr="00E10034" w14:paraId="19691077" w14:textId="77777777" w:rsidTr="00673FA2">
        <w:tc>
          <w:tcPr>
            <w:tcW w:w="9016" w:type="dxa"/>
            <w:shd w:val="clear" w:color="auto" w:fill="D9D9D9" w:themeFill="background1" w:themeFillShade="D9"/>
          </w:tcPr>
          <w:p w14:paraId="22E72AFE" w14:textId="77777777" w:rsidR="00D456A6" w:rsidRPr="002A7D84" w:rsidRDefault="00D456A6" w:rsidP="00673FA2">
            <w:pPr>
              <w:tabs>
                <w:tab w:val="center" w:pos="4400"/>
              </w:tabs>
              <w:jc w:val="both"/>
              <w:rPr>
                <w:rFonts w:ascii="Arial" w:hAnsi="Arial" w:cs="Arial"/>
              </w:rPr>
            </w:pPr>
            <w:r w:rsidRPr="002A7D84">
              <w:rPr>
                <w:rFonts w:ascii="Arial" w:hAnsi="Arial" w:cs="Arial"/>
                <w:b/>
                <w:bCs/>
              </w:rPr>
              <w:t>Do Nothing</w:t>
            </w:r>
            <w:r w:rsidRPr="002A7D84">
              <w:rPr>
                <w:rFonts w:ascii="Arial" w:hAnsi="Arial" w:cs="Arial"/>
                <w:b/>
                <w:bCs/>
              </w:rPr>
              <w:tab/>
            </w:r>
          </w:p>
        </w:tc>
      </w:tr>
      <w:tr w:rsidR="00D456A6" w:rsidRPr="00E10034" w14:paraId="761DF6FC" w14:textId="77777777" w:rsidTr="00673FA2">
        <w:tc>
          <w:tcPr>
            <w:tcW w:w="9016" w:type="dxa"/>
          </w:tcPr>
          <w:p w14:paraId="6EA975ED" w14:textId="6740B781" w:rsidR="00D456A6" w:rsidRPr="002A7D84" w:rsidRDefault="00FB56FE" w:rsidP="00C6208E">
            <w:pPr>
              <w:pStyle w:val="ListParagraph"/>
              <w:numPr>
                <w:ilvl w:val="0"/>
                <w:numId w:val="41"/>
              </w:numPr>
              <w:spacing w:after="0" w:line="240" w:lineRule="auto"/>
              <w:jc w:val="both"/>
              <w:rPr>
                <w:sz w:val="22"/>
                <w:szCs w:val="22"/>
              </w:rPr>
            </w:pPr>
            <w:r w:rsidRPr="002A7D84">
              <w:rPr>
                <w:sz w:val="22"/>
                <w:szCs w:val="22"/>
              </w:rPr>
              <w:t xml:space="preserve">In the Do-Nothing scenario, the existing Tarbert HFO Power Station will be decontaminated and decommissioned (but no demolition works will be carried out). The previously consented TEG facility will be constructed and will be operational. The hazardous substances and operations associated with the Do-Nothing scenario will be </w:t>
            </w:r>
            <w:proofErr w:type="gramStart"/>
            <w:r w:rsidRPr="002A7D84">
              <w:rPr>
                <w:sz w:val="22"/>
                <w:szCs w:val="22"/>
              </w:rPr>
              <w:t>similar to</w:t>
            </w:r>
            <w:proofErr w:type="gramEnd"/>
            <w:r w:rsidRPr="002A7D84">
              <w:rPr>
                <w:sz w:val="22"/>
                <w:szCs w:val="22"/>
              </w:rPr>
              <w:t xml:space="preserve"> those currently present at the existing Tarbert HFO Power Station, consequently, the same types of MA&amp;D scenarios would apply, although as a smaller facility the risks would be lower. The likelihood of these MA&amp;D scenarios occurring, </w:t>
            </w:r>
            <w:proofErr w:type="gramStart"/>
            <w:r w:rsidRPr="002A7D84">
              <w:rPr>
                <w:sz w:val="22"/>
                <w:szCs w:val="22"/>
              </w:rPr>
              <w:t>is considered to be</w:t>
            </w:r>
            <w:proofErr w:type="gramEnd"/>
            <w:r w:rsidRPr="002A7D84">
              <w:rPr>
                <w:sz w:val="22"/>
                <w:szCs w:val="22"/>
              </w:rPr>
              <w:t xml:space="preserve"> very low as the power generation industry and HFO/distillate fuel facilities both at this Site and at facilities operated worldwide have a very good safety record and major accidents and disasters are very rare. The reduction in fuel storage quantities may reduce the COMAH status from upper tier (at present) to lower tier in the Do-Nothing scenario, this would be subject to a COMAH assessment. Therefore, in the absence of the Proposed Development, there would still be a low risk of a MA&amp;D occurring at the Site</w:t>
            </w:r>
          </w:p>
        </w:tc>
      </w:tr>
      <w:tr w:rsidR="00D456A6" w:rsidRPr="00E10034" w14:paraId="6C3A8E49" w14:textId="77777777" w:rsidTr="00673FA2">
        <w:tc>
          <w:tcPr>
            <w:tcW w:w="9016" w:type="dxa"/>
            <w:shd w:val="clear" w:color="auto" w:fill="D9D9D9" w:themeFill="background1" w:themeFillShade="D9"/>
          </w:tcPr>
          <w:p w14:paraId="76992558" w14:textId="62E308E6" w:rsidR="00D456A6" w:rsidRPr="003F035B" w:rsidRDefault="00D456A6" w:rsidP="00673FA2">
            <w:pPr>
              <w:jc w:val="both"/>
              <w:rPr>
                <w:rFonts w:ascii="Arial" w:hAnsi="Arial" w:cs="Arial"/>
              </w:rPr>
            </w:pPr>
            <w:r w:rsidRPr="003F035B">
              <w:rPr>
                <w:rFonts w:ascii="Arial" w:hAnsi="Arial" w:cs="Arial"/>
                <w:b/>
                <w:bCs/>
              </w:rPr>
              <w:t>Construction</w:t>
            </w:r>
            <w:r w:rsidR="00E02687">
              <w:rPr>
                <w:rFonts w:ascii="Arial" w:hAnsi="Arial" w:cs="Arial"/>
                <w:b/>
                <w:bCs/>
              </w:rPr>
              <w:t xml:space="preserve"> Impacts</w:t>
            </w:r>
          </w:p>
        </w:tc>
      </w:tr>
      <w:tr w:rsidR="00D456A6" w:rsidRPr="00E10034" w14:paraId="276137EC" w14:textId="77777777" w:rsidTr="00673FA2">
        <w:tc>
          <w:tcPr>
            <w:tcW w:w="9016" w:type="dxa"/>
          </w:tcPr>
          <w:p w14:paraId="5F7ADB3D" w14:textId="77777777" w:rsidR="00345564" w:rsidRPr="003F035B" w:rsidRDefault="00293E38" w:rsidP="00C6208E">
            <w:pPr>
              <w:pStyle w:val="ListParagraph"/>
              <w:numPr>
                <w:ilvl w:val="0"/>
                <w:numId w:val="41"/>
              </w:numPr>
              <w:spacing w:after="0" w:line="240" w:lineRule="auto"/>
              <w:jc w:val="both"/>
              <w:rPr>
                <w:sz w:val="22"/>
                <w:szCs w:val="22"/>
              </w:rPr>
            </w:pPr>
            <w:r w:rsidRPr="003F035B">
              <w:rPr>
                <w:sz w:val="22"/>
                <w:szCs w:val="22"/>
              </w:rPr>
              <w:t xml:space="preserve">The risk of an accidental release resulting in a fire and / or explosion is reduced to very low levels by a network of heat, smoke and fire detectors and fire suppression </w:t>
            </w:r>
            <w:r w:rsidRPr="003F035B">
              <w:rPr>
                <w:sz w:val="22"/>
                <w:szCs w:val="22"/>
              </w:rPr>
              <w:lastRenderedPageBreak/>
              <w:t xml:space="preserve">such as water spray and inert gas systems which will be used where appropriate onsite. </w:t>
            </w:r>
          </w:p>
          <w:p w14:paraId="1D718753" w14:textId="3560D93D" w:rsidR="00D456A6" w:rsidRPr="003F035B" w:rsidRDefault="00293E38" w:rsidP="00C6208E">
            <w:pPr>
              <w:pStyle w:val="ListParagraph"/>
              <w:numPr>
                <w:ilvl w:val="0"/>
                <w:numId w:val="41"/>
              </w:numPr>
              <w:spacing w:after="0" w:line="240" w:lineRule="auto"/>
              <w:jc w:val="both"/>
              <w:rPr>
                <w:sz w:val="22"/>
                <w:szCs w:val="22"/>
              </w:rPr>
            </w:pPr>
            <w:r w:rsidRPr="003F035B">
              <w:rPr>
                <w:sz w:val="22"/>
                <w:szCs w:val="22"/>
              </w:rPr>
              <w:t>During the initial construction phase and the eventual decommissioning phases of the Proposed Development, the primary hazardous substances will not be present. There are however potential major accidents associated with these phases, such as accidental contact with high voltage electrical systems by construction workers. These risks will be reduced and managed by very detailed risk assessments included within construction plans, therefore are not specifically defined as Risk Events.</w:t>
            </w:r>
          </w:p>
        </w:tc>
      </w:tr>
      <w:tr w:rsidR="00D456A6" w:rsidRPr="00E10034" w14:paraId="59C950BA" w14:textId="77777777" w:rsidTr="00673FA2">
        <w:tc>
          <w:tcPr>
            <w:tcW w:w="9016" w:type="dxa"/>
            <w:shd w:val="clear" w:color="auto" w:fill="D9D9D9" w:themeFill="background1" w:themeFillShade="D9"/>
          </w:tcPr>
          <w:p w14:paraId="57AB181F" w14:textId="77777777" w:rsidR="00D456A6" w:rsidRPr="003F035B" w:rsidRDefault="00D456A6" w:rsidP="00673FA2">
            <w:pPr>
              <w:jc w:val="both"/>
              <w:rPr>
                <w:rFonts w:ascii="Arial" w:hAnsi="Arial" w:cs="Arial"/>
              </w:rPr>
            </w:pPr>
            <w:r w:rsidRPr="003F035B">
              <w:rPr>
                <w:rFonts w:ascii="Arial" w:hAnsi="Arial" w:cs="Arial"/>
                <w:b/>
                <w:bCs/>
              </w:rPr>
              <w:lastRenderedPageBreak/>
              <w:t>Operational Impacts</w:t>
            </w:r>
          </w:p>
        </w:tc>
      </w:tr>
      <w:tr w:rsidR="00D456A6" w:rsidRPr="00E10034" w14:paraId="5488C474" w14:textId="77777777" w:rsidTr="00673FA2">
        <w:tc>
          <w:tcPr>
            <w:tcW w:w="9016" w:type="dxa"/>
          </w:tcPr>
          <w:p w14:paraId="1B2AC5E4" w14:textId="20EC81C6" w:rsidR="00D456A6" w:rsidRPr="003F035B" w:rsidRDefault="00E303B7" w:rsidP="00C6208E">
            <w:pPr>
              <w:pStyle w:val="ListParagraph"/>
              <w:numPr>
                <w:ilvl w:val="0"/>
                <w:numId w:val="42"/>
              </w:numPr>
              <w:spacing w:after="0" w:line="240" w:lineRule="auto"/>
              <w:jc w:val="both"/>
              <w:rPr>
                <w:sz w:val="22"/>
                <w:szCs w:val="22"/>
              </w:rPr>
            </w:pPr>
            <w:r w:rsidRPr="003F035B">
              <w:rPr>
                <w:sz w:val="22"/>
                <w:szCs w:val="22"/>
              </w:rPr>
              <w:t>The conclusions of the assessment of substances contained on site (HVO, Distillate Fuel and LPG) that the only material will have the potential to initiate a credible major accident scenario is HVO.</w:t>
            </w:r>
            <w:r w:rsidR="002B34B2" w:rsidRPr="003F035B">
              <w:rPr>
                <w:sz w:val="22"/>
                <w:szCs w:val="22"/>
              </w:rPr>
              <w:t xml:space="preserve">  HVO and Distillate Fuel are both diesel</w:t>
            </w:r>
            <w:r w:rsidR="009D0F9B">
              <w:rPr>
                <w:sz w:val="22"/>
                <w:szCs w:val="22"/>
              </w:rPr>
              <w:t>-</w:t>
            </w:r>
            <w:r w:rsidR="002B34B2" w:rsidRPr="003F035B">
              <w:rPr>
                <w:sz w:val="22"/>
                <w:szCs w:val="22"/>
              </w:rPr>
              <w:t>like fuels with similar properties as such the credible major accident scenarios associated with each one the same.</w:t>
            </w:r>
          </w:p>
          <w:p w14:paraId="5C929EB4" w14:textId="56A02F67" w:rsidR="00E03CF7" w:rsidRPr="003F035B" w:rsidRDefault="00E03CF7" w:rsidP="00C6208E">
            <w:pPr>
              <w:pStyle w:val="ListParagraph"/>
              <w:numPr>
                <w:ilvl w:val="0"/>
                <w:numId w:val="42"/>
              </w:numPr>
              <w:spacing w:after="0" w:line="240" w:lineRule="auto"/>
              <w:jc w:val="both"/>
              <w:rPr>
                <w:sz w:val="22"/>
                <w:szCs w:val="22"/>
              </w:rPr>
            </w:pPr>
            <w:r w:rsidRPr="003F035B">
              <w:rPr>
                <w:sz w:val="22"/>
                <w:szCs w:val="22"/>
              </w:rPr>
              <w:t>Such scenarios comprise of; of an accidental release of HVO into the Shannon Estuary, has been defined as Risk Event 1. The credible scenarios of related to fires and / or explosions and has been termed Risk Event 2. The credible scenarios of possibility of a road accident involving an HDV carrying HVO or Distillate Fuel HVO has been termed Risk Event 3. There is a credible major accident scenario related to LPG which refers to fires and / or explosions, this has been defined as Risk Event 4.</w:t>
            </w:r>
            <w:r w:rsidR="007E7265" w:rsidRPr="003F035B">
              <w:rPr>
                <w:sz w:val="22"/>
                <w:szCs w:val="22"/>
              </w:rPr>
              <w:t xml:space="preserve">  This assessment has identified one scenario where an incident such as a fire and / or explosion occurring at the NORA controlled Mainland Tank Farm adjacent to the Proposed Development could escalate and have an impact at the new facilities. This ‘Domino Effect’ scenario has been defined as Risk Event 5.</w:t>
            </w:r>
          </w:p>
          <w:p w14:paraId="52F678E5" w14:textId="08ACB538" w:rsidR="00D456A6" w:rsidRPr="003F035B" w:rsidRDefault="00BD75A4" w:rsidP="00C6208E">
            <w:pPr>
              <w:pStyle w:val="ListParagraph"/>
              <w:numPr>
                <w:ilvl w:val="0"/>
                <w:numId w:val="42"/>
              </w:numPr>
              <w:spacing w:after="0" w:line="240" w:lineRule="auto"/>
              <w:jc w:val="both"/>
              <w:rPr>
                <w:sz w:val="22"/>
                <w:szCs w:val="22"/>
              </w:rPr>
            </w:pPr>
            <w:r w:rsidRPr="003F035B">
              <w:rPr>
                <w:sz w:val="22"/>
                <w:szCs w:val="22"/>
              </w:rPr>
              <w:t>The Tarbert HFO Power Station is regulated in accordance with the Chemicals Act Regulations13 as a “Upper Tier Installation”. The Proposed Development will not change the facility category as an “Upper Tier Installation”. The Upper Tier categorisation requires detailed safety information to be provided to the Regulatory Authorities, to demonstrate that all measures necessary have been taken on site to reduce risk. A preliminary technical report has been produced to support the Proposed Development, which contains a risk assessment of the modifications proposed to SSE Tarbert. The conclusions of this assessment demonstrate that the level of risk on and off site is at a level which has been defined by the Regulatory Authority as acceptable</w:t>
            </w:r>
          </w:p>
        </w:tc>
      </w:tr>
      <w:tr w:rsidR="00D456A6" w:rsidRPr="00E10034" w14:paraId="07647215" w14:textId="77777777" w:rsidTr="00673FA2">
        <w:tc>
          <w:tcPr>
            <w:tcW w:w="9016" w:type="dxa"/>
            <w:shd w:val="clear" w:color="auto" w:fill="D9D9D9" w:themeFill="background1" w:themeFillShade="D9"/>
          </w:tcPr>
          <w:p w14:paraId="1DE57920" w14:textId="06AF9E90" w:rsidR="00D456A6" w:rsidRPr="003F035B" w:rsidRDefault="00D456A6" w:rsidP="00673FA2">
            <w:pPr>
              <w:jc w:val="both"/>
              <w:rPr>
                <w:rFonts w:ascii="Arial" w:hAnsi="Arial" w:cs="Arial"/>
              </w:rPr>
            </w:pPr>
            <w:r w:rsidRPr="003F035B">
              <w:rPr>
                <w:rFonts w:ascii="Arial" w:hAnsi="Arial" w:cs="Arial"/>
                <w:b/>
                <w:bCs/>
              </w:rPr>
              <w:t>Decommissioning</w:t>
            </w:r>
            <w:r w:rsidR="00E02687">
              <w:rPr>
                <w:rFonts w:ascii="Arial" w:hAnsi="Arial" w:cs="Arial"/>
                <w:b/>
                <w:bCs/>
              </w:rPr>
              <w:t xml:space="preserve"> Impacts</w:t>
            </w:r>
          </w:p>
        </w:tc>
      </w:tr>
      <w:tr w:rsidR="00D456A6" w:rsidRPr="00E10034" w14:paraId="4D63BC3D" w14:textId="77777777" w:rsidTr="00673FA2">
        <w:tc>
          <w:tcPr>
            <w:tcW w:w="9016" w:type="dxa"/>
          </w:tcPr>
          <w:p w14:paraId="33793E9C" w14:textId="4B9E8D83" w:rsidR="00D456A6" w:rsidRPr="003F035B" w:rsidRDefault="005F2F06" w:rsidP="00C6208E">
            <w:pPr>
              <w:pStyle w:val="ListParagraph"/>
              <w:numPr>
                <w:ilvl w:val="0"/>
                <w:numId w:val="41"/>
              </w:numPr>
              <w:spacing w:after="0" w:line="240" w:lineRule="auto"/>
              <w:jc w:val="both"/>
              <w:rPr>
                <w:sz w:val="22"/>
                <w:szCs w:val="22"/>
              </w:rPr>
            </w:pPr>
            <w:r w:rsidRPr="003F035B">
              <w:rPr>
                <w:sz w:val="22"/>
                <w:szCs w:val="22"/>
              </w:rPr>
              <w:t>Method statements and risk assessments for the activities described will be key mitigation measures adopted during the eventual decommissioning phase of the Proposed Development. In addition to these measures, other general safety controls will be incorporated into a Decommissioning Plan (including a Decommissioning Environmental Management Plan (DEMP)) which will be produced when required and agreed as part of the Industrial Emissions (IE) Licence of the Site and site surrender process.</w:t>
            </w:r>
          </w:p>
        </w:tc>
      </w:tr>
      <w:tr w:rsidR="00D456A6" w:rsidRPr="00E10034" w14:paraId="6156D6F6" w14:textId="77777777" w:rsidTr="00673FA2">
        <w:tc>
          <w:tcPr>
            <w:tcW w:w="9016" w:type="dxa"/>
            <w:shd w:val="clear" w:color="auto" w:fill="D9D9D9" w:themeFill="background1" w:themeFillShade="D9"/>
          </w:tcPr>
          <w:p w14:paraId="06395AA3" w14:textId="77777777" w:rsidR="00D456A6" w:rsidRPr="003F035B" w:rsidRDefault="00D456A6" w:rsidP="00673FA2">
            <w:pPr>
              <w:jc w:val="both"/>
              <w:rPr>
                <w:rFonts w:ascii="Arial" w:hAnsi="Arial" w:cs="Arial"/>
              </w:rPr>
            </w:pPr>
            <w:r w:rsidRPr="003F035B">
              <w:rPr>
                <w:rFonts w:ascii="Arial" w:hAnsi="Arial" w:cs="Arial"/>
                <w:b/>
                <w:bCs/>
              </w:rPr>
              <w:t>Cumulative Impacts</w:t>
            </w:r>
          </w:p>
        </w:tc>
      </w:tr>
      <w:tr w:rsidR="00D456A6" w:rsidRPr="00E10034" w14:paraId="11493A9E" w14:textId="77777777" w:rsidTr="00673FA2">
        <w:tc>
          <w:tcPr>
            <w:tcW w:w="9016" w:type="dxa"/>
          </w:tcPr>
          <w:p w14:paraId="67660161" w14:textId="77777777" w:rsidR="00D456A6" w:rsidRPr="003F035B" w:rsidRDefault="00307D4B" w:rsidP="00C6208E">
            <w:pPr>
              <w:pStyle w:val="ListParagraph"/>
              <w:numPr>
                <w:ilvl w:val="0"/>
                <w:numId w:val="43"/>
              </w:numPr>
              <w:spacing w:after="0" w:line="240" w:lineRule="auto"/>
              <w:jc w:val="both"/>
              <w:rPr>
                <w:sz w:val="22"/>
                <w:szCs w:val="22"/>
              </w:rPr>
            </w:pPr>
            <w:r w:rsidRPr="003F035B">
              <w:rPr>
                <w:b/>
                <w:bCs/>
                <w:sz w:val="22"/>
                <w:szCs w:val="22"/>
              </w:rPr>
              <w:t>Construction Stage</w:t>
            </w:r>
            <w:r w:rsidRPr="003F035B">
              <w:rPr>
                <w:sz w:val="22"/>
                <w:szCs w:val="22"/>
              </w:rPr>
              <w:t xml:space="preserve"> - </w:t>
            </w:r>
            <w:r w:rsidR="00E736FA" w:rsidRPr="003F035B">
              <w:rPr>
                <w:sz w:val="22"/>
                <w:szCs w:val="22"/>
              </w:rPr>
              <w:t xml:space="preserve">A CEMP will incorporate welfare accommodation for the additional construction workers on site, and a number of risk assessments such as traffic management, and control of simultaneous activities on site, both operation and construction </w:t>
            </w:r>
            <w:proofErr w:type="gramStart"/>
            <w:r w:rsidR="00E736FA" w:rsidRPr="003F035B">
              <w:rPr>
                <w:sz w:val="22"/>
                <w:szCs w:val="22"/>
              </w:rPr>
              <w:t>works</w:t>
            </w:r>
            <w:proofErr w:type="gramEnd"/>
            <w:r w:rsidR="00E736FA" w:rsidRPr="003F035B">
              <w:rPr>
                <w:sz w:val="22"/>
                <w:szCs w:val="22"/>
              </w:rPr>
              <w:t xml:space="preserve">. </w:t>
            </w:r>
            <w:r w:rsidR="008B46FD" w:rsidRPr="003F035B">
              <w:rPr>
                <w:sz w:val="22"/>
                <w:szCs w:val="22"/>
              </w:rPr>
              <w:t>The potential risks associated with cumulative effects during construction will be reduced and mitigated.</w:t>
            </w:r>
          </w:p>
          <w:p w14:paraId="6DEB9AB4" w14:textId="5492A87F" w:rsidR="00634955" w:rsidRPr="003F035B" w:rsidRDefault="00D17722" w:rsidP="00C6208E">
            <w:pPr>
              <w:pStyle w:val="ListParagraph"/>
              <w:numPr>
                <w:ilvl w:val="0"/>
                <w:numId w:val="43"/>
              </w:numPr>
              <w:spacing w:after="0" w:line="240" w:lineRule="auto"/>
              <w:jc w:val="both"/>
              <w:rPr>
                <w:sz w:val="22"/>
                <w:szCs w:val="22"/>
              </w:rPr>
            </w:pPr>
            <w:r w:rsidRPr="003F035B">
              <w:rPr>
                <w:b/>
                <w:bCs/>
                <w:sz w:val="22"/>
                <w:szCs w:val="22"/>
              </w:rPr>
              <w:t>Operation</w:t>
            </w:r>
            <w:r w:rsidR="00E02687">
              <w:rPr>
                <w:b/>
                <w:bCs/>
                <w:sz w:val="22"/>
                <w:szCs w:val="22"/>
              </w:rPr>
              <w:t>al</w:t>
            </w:r>
            <w:r w:rsidRPr="003F035B">
              <w:rPr>
                <w:b/>
                <w:bCs/>
                <w:sz w:val="22"/>
                <w:szCs w:val="22"/>
              </w:rPr>
              <w:t xml:space="preserve"> Stage</w:t>
            </w:r>
            <w:r w:rsidRPr="003F035B">
              <w:rPr>
                <w:sz w:val="22"/>
                <w:szCs w:val="22"/>
              </w:rPr>
              <w:t xml:space="preserve"> - A credible MA&amp;D scenario has been identified (Risk Event 4) where a major incident occurs at the NORA Island Tank Farm during operation which escalates to areas within the Proposed Development</w:t>
            </w:r>
            <w:r w:rsidR="003B2DCC" w:rsidRPr="003F035B">
              <w:rPr>
                <w:sz w:val="22"/>
                <w:szCs w:val="22"/>
              </w:rPr>
              <w:t xml:space="preserve">.  </w:t>
            </w:r>
            <w:r w:rsidR="00634955" w:rsidRPr="003F035B">
              <w:rPr>
                <w:sz w:val="22"/>
                <w:szCs w:val="22"/>
              </w:rPr>
              <w:t xml:space="preserve">As these tanks are COMAH installations it is required by law to take ‘all measures necessary’ to prevent major accidents, such as the mitigation measures laid out in Risk Events 1 and 2. Thus it </w:t>
            </w:r>
            <w:r w:rsidR="00634955" w:rsidRPr="003F035B">
              <w:rPr>
                <w:sz w:val="22"/>
                <w:szCs w:val="22"/>
              </w:rPr>
              <w:lastRenderedPageBreak/>
              <w:t>can be concluded that the mitigation measures installed at both facilities will be sufficient to reduce the risk of this scenario to a level considered to be ALARP.</w:t>
            </w:r>
          </w:p>
          <w:p w14:paraId="5CFBD4F5" w14:textId="77777777" w:rsidR="00721C55" w:rsidRPr="003F035B" w:rsidRDefault="00C66016" w:rsidP="00C6208E">
            <w:pPr>
              <w:pStyle w:val="ListParagraph"/>
              <w:numPr>
                <w:ilvl w:val="0"/>
                <w:numId w:val="43"/>
              </w:numPr>
              <w:spacing w:after="0" w:line="240" w:lineRule="auto"/>
              <w:jc w:val="both"/>
              <w:rPr>
                <w:sz w:val="22"/>
                <w:szCs w:val="22"/>
              </w:rPr>
            </w:pPr>
            <w:r w:rsidRPr="003F035B">
              <w:rPr>
                <w:sz w:val="22"/>
                <w:szCs w:val="22"/>
              </w:rPr>
              <w:t>As the Proposed Development will be storing large amounts of flammable material it is likely to be a COMAH installation thus it will also be required by law to take ‘all measures necessary’ to prevent major accidents, such as those set out in Table 19.3</w:t>
            </w:r>
            <w:r w:rsidR="00721C55" w:rsidRPr="003F035B">
              <w:rPr>
                <w:sz w:val="22"/>
                <w:szCs w:val="22"/>
              </w:rPr>
              <w:t xml:space="preserve"> of the EIAR</w:t>
            </w:r>
            <w:r w:rsidRPr="003F035B">
              <w:rPr>
                <w:sz w:val="22"/>
                <w:szCs w:val="22"/>
              </w:rPr>
              <w:t xml:space="preserve">. </w:t>
            </w:r>
          </w:p>
          <w:p w14:paraId="083415CE" w14:textId="77777777" w:rsidR="002D01F5" w:rsidRPr="003F035B" w:rsidRDefault="00C66016" w:rsidP="00C6208E">
            <w:pPr>
              <w:pStyle w:val="ListParagraph"/>
              <w:numPr>
                <w:ilvl w:val="0"/>
                <w:numId w:val="43"/>
              </w:numPr>
              <w:spacing w:after="0" w:line="240" w:lineRule="auto"/>
              <w:jc w:val="both"/>
              <w:rPr>
                <w:sz w:val="22"/>
                <w:szCs w:val="22"/>
              </w:rPr>
            </w:pPr>
            <w:r w:rsidRPr="003F035B">
              <w:rPr>
                <w:sz w:val="22"/>
                <w:szCs w:val="22"/>
              </w:rPr>
              <w:t xml:space="preserve">It can be concluded that the mitigation measures installed at both facilities will be sufficient to reduce the risk of this scenario to a level considered to be ALARP. As well as this the existing Tarbert HFO Power Station is already an upper tier COMAH installation that has measures in place to prevent any major accidents. </w:t>
            </w:r>
          </w:p>
          <w:p w14:paraId="5B817A9A" w14:textId="3460FF6F" w:rsidR="00D17722" w:rsidRPr="003F035B" w:rsidRDefault="00C66016" w:rsidP="00C6208E">
            <w:pPr>
              <w:pStyle w:val="ListParagraph"/>
              <w:numPr>
                <w:ilvl w:val="0"/>
                <w:numId w:val="43"/>
              </w:numPr>
              <w:spacing w:after="0" w:line="240" w:lineRule="auto"/>
              <w:jc w:val="both"/>
              <w:rPr>
                <w:sz w:val="22"/>
                <w:szCs w:val="22"/>
              </w:rPr>
            </w:pPr>
            <w:r w:rsidRPr="003F035B">
              <w:rPr>
                <w:sz w:val="22"/>
                <w:szCs w:val="22"/>
              </w:rPr>
              <w:t xml:space="preserve">The Proposed Development, and existing NORA Island Tank Farm will be regulated in accordance with COMAH and will be managed by experienced operating personnel to ensure communication and cooperation in activities thus reducing the potential for accidents. </w:t>
            </w:r>
          </w:p>
        </w:tc>
      </w:tr>
    </w:tbl>
    <w:p w14:paraId="415A7C9D" w14:textId="77777777" w:rsidR="00D456A6" w:rsidRPr="00453342" w:rsidRDefault="00D456A6" w:rsidP="00D456A6">
      <w:pPr>
        <w:rPr>
          <w:rFonts w:ascii="Arial" w:hAnsi="Arial" w:cs="Arial"/>
        </w:rPr>
      </w:pPr>
    </w:p>
    <w:p w14:paraId="476B7C3C" w14:textId="77777777" w:rsidR="00D456A6" w:rsidRDefault="00D456A6" w:rsidP="00D456A6">
      <w:pPr>
        <w:pStyle w:val="Heading2"/>
      </w:pPr>
      <w:r>
        <w:t>Mitigation</w:t>
      </w:r>
    </w:p>
    <w:p w14:paraId="0189E48A" w14:textId="7479AB2D" w:rsidR="00D456A6" w:rsidRPr="00680AAF" w:rsidRDefault="00E43D79" w:rsidP="00AF15F6">
      <w:pPr>
        <w:pStyle w:val="BBody1"/>
        <w:numPr>
          <w:ilvl w:val="0"/>
          <w:numId w:val="0"/>
        </w:numPr>
        <w:jc w:val="both"/>
      </w:pPr>
      <w:r>
        <w:t>Section 19.7</w:t>
      </w:r>
      <w:r w:rsidR="00840D64">
        <w:t xml:space="preserve"> of the EIAR</w:t>
      </w:r>
      <w:r>
        <w:t xml:space="preserve"> details the mitigation measures </w:t>
      </w:r>
      <w:r w:rsidR="00BD0270">
        <w:t xml:space="preserve">which will be implemented to prevent major accidents and disasters at the Proposed Development. </w:t>
      </w:r>
      <w:r w:rsidR="006043DB">
        <w:t xml:space="preserve">The CEMP (Appendix 5, EIAR Volume II) will be updated by the Contractor in accordance with any conditions of planning, and similar plans developed for eventual demolition activities. </w:t>
      </w:r>
      <w:r w:rsidR="00DF0D7F">
        <w:t xml:space="preserve">The design, construction, and operation of the Proposed Development will be in accordance with international, </w:t>
      </w:r>
      <w:proofErr w:type="gramStart"/>
      <w:r w:rsidR="00DF0D7F">
        <w:t>national</w:t>
      </w:r>
      <w:proofErr w:type="gramEnd"/>
      <w:r w:rsidR="00DF0D7F">
        <w:t xml:space="preserve"> and established industry codes, standards and practice, such as the specification of pipework materials, design of structures etc. </w:t>
      </w:r>
      <w:r w:rsidR="00BD0270">
        <w:t xml:space="preserve"> </w:t>
      </w:r>
      <w:r>
        <w:t>The Proposed Development will comply with the requirements of all relevant health, safety and environmental legislation including COMAH, which requires operators to take all measures necessary to prevent major accidents.</w:t>
      </w:r>
      <w:r w:rsidR="005D2A33">
        <w:t xml:space="preserve"> </w:t>
      </w:r>
      <w:r w:rsidR="00664B3B">
        <w:t>A Site Emergency Response Plan (ERP) will be developed in relation to the Proposed Development in accordance with legislative requirements including COMAH and IE Licence, which will include a fire strategy and appropriate training procedures.</w:t>
      </w:r>
      <w:r w:rsidR="005D2A33">
        <w:t xml:space="preserve"> </w:t>
      </w:r>
      <w:r w:rsidR="00664B3B">
        <w:t xml:space="preserve"> </w:t>
      </w:r>
      <w:r w:rsidR="005D2A33">
        <w:t xml:space="preserve">The existing site Environment Management System (EMS) will be amended to include the Proposed Development. </w:t>
      </w:r>
    </w:p>
    <w:p w14:paraId="22113456" w14:textId="77777777" w:rsidR="00D456A6" w:rsidRDefault="00D456A6" w:rsidP="00D456A6">
      <w:pPr>
        <w:pStyle w:val="Heading2"/>
      </w:pPr>
      <w:r>
        <w:t>Residual Effects</w:t>
      </w:r>
    </w:p>
    <w:p w14:paraId="0911958C" w14:textId="32FB7881" w:rsidR="00D456A6" w:rsidRPr="00680AAF" w:rsidRDefault="00F523BE" w:rsidP="00AF15F6">
      <w:pPr>
        <w:pStyle w:val="BBody1"/>
        <w:numPr>
          <w:ilvl w:val="0"/>
          <w:numId w:val="0"/>
        </w:numPr>
        <w:jc w:val="both"/>
      </w:pPr>
      <w:r>
        <w:t xml:space="preserve">It is not possible to </w:t>
      </w:r>
      <w:proofErr w:type="gramStart"/>
      <w:r>
        <w:t>completely eliminate</w:t>
      </w:r>
      <w:proofErr w:type="gramEnd"/>
      <w:r>
        <w:t xml:space="preserve"> the risks associated with the use of materials such as HVO. Consequently, the Site will comply with all applicable safety legislation, national and international design standards, industry guidance and other control measures, including those set out in Table 19.3, which will be adopted at the Proposed </w:t>
      </w:r>
      <w:r>
        <w:lastRenderedPageBreak/>
        <w:t>Development. These mitigating measures have been in place at the existing SSE Tarbert since operation for approximately 50 years and contribute to the excellent safety record at this facility. Overall, the construction, operation and decommissioning of the Proposed Development is considered ‘Not Significant’ for Major Accidents and Disasters as all risk events will be mitigated to a level commensurate with ALARP.</w:t>
      </w:r>
    </w:p>
    <w:p w14:paraId="02A2D3B9" w14:textId="77777777" w:rsidR="00D456A6" w:rsidRDefault="00D456A6" w:rsidP="00D456A6">
      <w:pPr>
        <w:pStyle w:val="Heading2"/>
      </w:pPr>
      <w:r>
        <w:t>The Assessment:  Direct and Indirect Effects</w:t>
      </w:r>
    </w:p>
    <w:p w14:paraId="61A06DB6" w14:textId="51748436" w:rsidR="00F776ED" w:rsidRPr="0005044F" w:rsidRDefault="006121C1" w:rsidP="00F776ED">
      <w:pPr>
        <w:pStyle w:val="BBody1"/>
        <w:numPr>
          <w:ilvl w:val="0"/>
          <w:numId w:val="0"/>
        </w:numPr>
        <w:jc w:val="both"/>
      </w:pPr>
      <w:r>
        <w:t xml:space="preserve">The proposed development relates to a Lower Tier COMAH site, it falls under the requirements of the Chemicals Act (Control of Major Accident hazards (COMAH) involving Dangerous Substances) Regulations 2015 (S.I. No 209 of 2015).  </w:t>
      </w:r>
      <w:r w:rsidR="00F776ED" w:rsidRPr="00F776ED">
        <w:t xml:space="preserve">Under the COMAH Regulations, where a new development is planned which qualifies as an upper or a lower tier establishment, the Health &amp; Safety Authority (HSA) will advise on whether the risks associated with the proposed development are in accordance with the Authority’s criteria for individual risk and for societal risk.  </w:t>
      </w:r>
      <w:r w:rsidR="00020B24">
        <w:t xml:space="preserve">In their </w:t>
      </w:r>
      <w:r w:rsidR="00020B24" w:rsidRPr="0005044F">
        <w:t>submission,</w:t>
      </w:r>
      <w:r w:rsidR="00FC623F" w:rsidRPr="0005044F">
        <w:t xml:space="preserve"> the HSA </w:t>
      </w:r>
      <w:r w:rsidR="00FC623F" w:rsidRPr="0005044F">
        <w:rPr>
          <w:b/>
          <w:bCs/>
          <w:u w:val="single"/>
        </w:rPr>
        <w:t>does not advise against</w:t>
      </w:r>
      <w:r w:rsidR="00FC623F" w:rsidRPr="0005044F">
        <w:t xml:space="preserve"> the granting of planning permission in the context of major accidents hazards.  </w:t>
      </w:r>
    </w:p>
    <w:p w14:paraId="168CB195" w14:textId="085175E0" w:rsidR="00F364FE" w:rsidRPr="0005044F" w:rsidRDefault="006C614F" w:rsidP="00D456A6">
      <w:pPr>
        <w:pStyle w:val="BBody1"/>
        <w:numPr>
          <w:ilvl w:val="0"/>
          <w:numId w:val="0"/>
        </w:numPr>
        <w:jc w:val="both"/>
      </w:pPr>
      <w:r>
        <w:t>In the EIAR</w:t>
      </w:r>
      <w:r w:rsidR="006C584A">
        <w:t xml:space="preserve"> assessment</w:t>
      </w:r>
      <w:r>
        <w:t>, a</w:t>
      </w:r>
      <w:r w:rsidR="00765048" w:rsidRPr="0005044F">
        <w:t xml:space="preserve"> total of five (5) reasonably foreseeable, major accident and / or disaster scenarios (Risk Events) have been identified for the Proposed Development. These include events associated with an accidental</w:t>
      </w:r>
      <w:r w:rsidR="00DA4209" w:rsidRPr="0005044F">
        <w:t xml:space="preserve"> release of HVO or distillate (stored on the SSE Tarbert site in relation to the TEG project) which could be caused by incidents such as impact damage or mechanical failure. </w:t>
      </w:r>
      <w:r w:rsidR="006A69DD" w:rsidRPr="0005044F">
        <w:t xml:space="preserve"> </w:t>
      </w:r>
      <w:r w:rsidR="00DA4209" w:rsidRPr="0005044F">
        <w:t>A release of HVO could result in a fire and / or explosion and a significant release of oil which reached a sensitive site such as Shannon Estuary, could result in harm to the environment.</w:t>
      </w:r>
      <w:r w:rsidR="00F364FE" w:rsidRPr="0005044F">
        <w:t xml:space="preserve"> </w:t>
      </w:r>
    </w:p>
    <w:p w14:paraId="5ED39CA5" w14:textId="77777777" w:rsidR="00E73455" w:rsidRPr="0005044F" w:rsidRDefault="00DA4209" w:rsidP="00D456A6">
      <w:pPr>
        <w:pStyle w:val="BBody1"/>
        <w:numPr>
          <w:ilvl w:val="0"/>
          <w:numId w:val="0"/>
        </w:numPr>
        <w:jc w:val="both"/>
      </w:pPr>
      <w:r w:rsidRPr="0005044F">
        <w:t xml:space="preserve"> Expanding the process equipment on site and increasing the quantity of diesel stored, could increase the severity of an incident such as a fire at the Site. </w:t>
      </w:r>
    </w:p>
    <w:p w14:paraId="4F97D92F" w14:textId="71E45270" w:rsidR="00765048" w:rsidRDefault="00DA4209" w:rsidP="00D456A6">
      <w:pPr>
        <w:pStyle w:val="BBody1"/>
        <w:numPr>
          <w:ilvl w:val="0"/>
          <w:numId w:val="0"/>
        </w:numPr>
        <w:jc w:val="both"/>
      </w:pPr>
      <w:r w:rsidRPr="0005044F">
        <w:t xml:space="preserve">The nature of these substances, which are classified as flammable, means that the hazards associated with their use cannot be </w:t>
      </w:r>
      <w:proofErr w:type="gramStart"/>
      <w:r w:rsidRPr="0005044F">
        <w:t>entirely eliminated</w:t>
      </w:r>
      <w:proofErr w:type="gramEnd"/>
      <w:r w:rsidRPr="0005044F">
        <w:t xml:space="preserve">. </w:t>
      </w:r>
      <w:r w:rsidR="00A04A1A">
        <w:t xml:space="preserve"> </w:t>
      </w:r>
      <w:r w:rsidRPr="0005044F">
        <w:t xml:space="preserve">The risks of storing and using these materials will therefore be reduced to a level which the Regulatory Authorities consider is ‘as low as reasonably practicable’ (ALARP). </w:t>
      </w:r>
    </w:p>
    <w:p w14:paraId="510A5CB4" w14:textId="0E29B162" w:rsidR="005334C0" w:rsidRPr="0043127D" w:rsidRDefault="006121C1" w:rsidP="00D456A6">
      <w:pPr>
        <w:pStyle w:val="BBody1"/>
        <w:numPr>
          <w:ilvl w:val="0"/>
          <w:numId w:val="0"/>
        </w:numPr>
        <w:jc w:val="both"/>
      </w:pPr>
      <w:r>
        <w:t xml:space="preserve">The proposed </w:t>
      </w:r>
      <w:r w:rsidR="006C584A">
        <w:t>OCGT</w:t>
      </w:r>
      <w:r>
        <w:t xml:space="preserve"> would operate in accordance with the terms and conditions of the EPA Industrial Emissions Licence, as amended and/or reviewed.</w:t>
      </w:r>
      <w:r w:rsidR="00FF7D43">
        <w:t xml:space="preserve"> </w:t>
      </w:r>
      <w:r>
        <w:t xml:space="preserve"> </w:t>
      </w:r>
      <w:r w:rsidR="00BE5D2C">
        <w:t xml:space="preserve">I am satisfied </w:t>
      </w:r>
      <w:r w:rsidR="00BE5D2C">
        <w:lastRenderedPageBreak/>
        <w:t xml:space="preserve">that a robust assessment of Accidents and Disasters has been carried out am satisfied that the overall </w:t>
      </w:r>
      <w:r w:rsidR="00F6223A">
        <w:t>risk is very low.</w:t>
      </w:r>
    </w:p>
    <w:p w14:paraId="2CFD0801" w14:textId="721EBE02" w:rsidR="00D456A6" w:rsidRPr="00BE2073" w:rsidRDefault="00D456A6" w:rsidP="00CE5F71">
      <w:pPr>
        <w:pStyle w:val="Heading2"/>
      </w:pPr>
      <w:r w:rsidRPr="00BE2073">
        <w:t>Conclusion:  Direct and Indirect Effects (</w:t>
      </w:r>
      <w:r w:rsidR="00A533F8">
        <w:t>Major Accidents and Disasters</w:t>
      </w:r>
      <w:r w:rsidRPr="00BE2073">
        <w:t>)</w:t>
      </w:r>
    </w:p>
    <w:p w14:paraId="0C06D658" w14:textId="445ABBAD" w:rsidR="00D456A6" w:rsidRDefault="005101A7" w:rsidP="004C73BC">
      <w:pPr>
        <w:pStyle w:val="BBody1"/>
        <w:numPr>
          <w:ilvl w:val="0"/>
          <w:numId w:val="0"/>
        </w:numPr>
        <w:jc w:val="both"/>
      </w:pPr>
      <w:r>
        <w:t xml:space="preserve">The proposed energy generating facility would operate in accordance with the terms and conditions of the EPA Industrial Emissions Licence, as amended and/or reviewed. The proposed development relates to a Lower Tier COMAH site, it falls under the requirements of the Chemicals Act (Control of Major Accident hazards (COMAH) involving Dangerous Substances) Regulations 2015 (S.I. No 209 of 2015).  </w:t>
      </w:r>
      <w:r w:rsidR="0073682B">
        <w:t xml:space="preserve">The Health and Safety Authority (HSA) </w:t>
      </w:r>
      <w:r w:rsidR="00AC54D1">
        <w:t>has no objection to the proposed development.  Based on the above, I am satisfied that the overall risk of Major Accidents and Disaster</w:t>
      </w:r>
      <w:r w:rsidR="003C32C0">
        <w:t xml:space="preserve">s has been </w:t>
      </w:r>
      <w:r w:rsidR="002362C3">
        <w:t>adequately addressed and the risk of MA&amp;D is low.</w:t>
      </w:r>
    </w:p>
    <w:p w14:paraId="116F6B5E" w14:textId="355FBEBD" w:rsidR="00784B29" w:rsidRDefault="006C614F" w:rsidP="00784B29">
      <w:pPr>
        <w:pStyle w:val="EHead1"/>
      </w:pPr>
      <w:bookmarkStart w:id="59" w:name="_Toc171346799"/>
      <w:r>
        <w:t>Interactions</w:t>
      </w:r>
      <w:bookmarkEnd w:id="59"/>
    </w:p>
    <w:p w14:paraId="7E054AB8" w14:textId="24EE3329" w:rsidR="00967E6A" w:rsidRDefault="00967E6A" w:rsidP="009060C8">
      <w:pPr>
        <w:pStyle w:val="CBody2"/>
        <w:numPr>
          <w:ilvl w:val="0"/>
          <w:numId w:val="0"/>
        </w:numPr>
        <w:jc w:val="both"/>
      </w:pPr>
      <w:r>
        <w:t xml:space="preserve">Chapter 20 of the EIAR evaluates the potential interaction of effects described within the EIAR. </w:t>
      </w:r>
      <w:r w:rsidR="003844CF">
        <w:t>The EIAR notes that a</w:t>
      </w:r>
      <w:r>
        <w:t xml:space="preserve">ll potential effects arising from interactions were identified early in the design process and in preparation of the EIAR and were therefore addressed through specific mitigation and monitoring measures detailed within the EIAR. No additional mitigation or monitoring measures are required </w:t>
      </w:r>
      <w:proofErr w:type="gramStart"/>
      <w:r>
        <w:t>as a result of</w:t>
      </w:r>
      <w:proofErr w:type="gramEnd"/>
      <w:r>
        <w:t xml:space="preserve"> the interaction of effects</w:t>
      </w:r>
      <w:r w:rsidR="00CE545D">
        <w:t xml:space="preserve">.  </w:t>
      </w:r>
      <w:r w:rsidR="008E590D">
        <w:t xml:space="preserve">A summary of the interaction of effects is identified </w:t>
      </w:r>
      <w:r w:rsidR="0078031A">
        <w:t>in Table 20.1 of the EIAR</w:t>
      </w:r>
      <w:r w:rsidR="001C0168">
        <w:t>.</w:t>
      </w:r>
    </w:p>
    <w:p w14:paraId="62C24D34" w14:textId="694B3F6C" w:rsidR="00B76B33" w:rsidRDefault="00B76B33" w:rsidP="009060C8">
      <w:pPr>
        <w:pStyle w:val="BBody1"/>
        <w:numPr>
          <w:ilvl w:val="0"/>
          <w:numId w:val="0"/>
        </w:numPr>
        <w:jc w:val="both"/>
      </w:pPr>
      <w:r>
        <w:t>I have considered the interactions and interrelationships between environmental effects</w:t>
      </w:r>
      <w:r w:rsidR="004C73BC">
        <w:t xml:space="preserve"> and am satisfied that significant impacts in relation to interactions can be avoided, </w:t>
      </w:r>
      <w:proofErr w:type="gramStart"/>
      <w:r w:rsidR="004C73BC">
        <w:t>managed</w:t>
      </w:r>
      <w:proofErr w:type="gramEnd"/>
      <w:r w:rsidR="004C73BC">
        <w:t xml:space="preserve"> and mitigated by the measures contained within the EIAR and any recommended planning conditions.</w:t>
      </w:r>
    </w:p>
    <w:p w14:paraId="4909133A" w14:textId="77777777" w:rsidR="001C0168" w:rsidRDefault="001C0168" w:rsidP="00C541C9">
      <w:pPr>
        <w:pStyle w:val="DBodyNonum"/>
      </w:pPr>
    </w:p>
    <w:p w14:paraId="28D83D28" w14:textId="77777777" w:rsidR="0050026C" w:rsidRDefault="0050026C" w:rsidP="00C541C9">
      <w:pPr>
        <w:pStyle w:val="DBodyNonum"/>
      </w:pPr>
    </w:p>
    <w:p w14:paraId="72849CD8" w14:textId="77777777" w:rsidR="0050026C" w:rsidRDefault="0050026C" w:rsidP="00C541C9">
      <w:pPr>
        <w:pStyle w:val="DBodyNonum"/>
      </w:pPr>
    </w:p>
    <w:p w14:paraId="20B9A614" w14:textId="5F2D8B29" w:rsidR="003151AF" w:rsidRDefault="003151AF" w:rsidP="00CE5F71">
      <w:pPr>
        <w:pStyle w:val="EHead1"/>
      </w:pPr>
      <w:bookmarkStart w:id="60" w:name="_Toc157634135"/>
      <w:bookmarkStart w:id="61" w:name="_Toc158156289"/>
      <w:bookmarkStart w:id="62" w:name="_Toc164376527"/>
      <w:bookmarkStart w:id="63" w:name="_Toc171346800"/>
      <w:r>
        <w:lastRenderedPageBreak/>
        <w:t>Reasoned Conclusion</w:t>
      </w:r>
      <w:bookmarkEnd w:id="60"/>
      <w:bookmarkEnd w:id="61"/>
      <w:bookmarkEnd w:id="62"/>
      <w:bookmarkEnd w:id="63"/>
      <w:r>
        <w:t xml:space="preserve"> </w:t>
      </w:r>
    </w:p>
    <w:p w14:paraId="7DDE2D25" w14:textId="1F842BE4" w:rsidR="00217089" w:rsidRDefault="00217089" w:rsidP="007A7F15">
      <w:pPr>
        <w:pStyle w:val="BBody1"/>
        <w:numPr>
          <w:ilvl w:val="0"/>
          <w:numId w:val="0"/>
        </w:numPr>
        <w:jc w:val="both"/>
      </w:pPr>
      <w:r w:rsidRPr="008458F3">
        <w:rPr>
          <w:lang w:val="en-GB"/>
        </w:rPr>
        <w:t xml:space="preserve">Having regard to the examination of environmental information contained above, and </w:t>
      </w:r>
      <w:proofErr w:type="gramStart"/>
      <w:r w:rsidRPr="008458F3">
        <w:rPr>
          <w:lang w:val="en-GB"/>
        </w:rPr>
        <w:t>in particular to</w:t>
      </w:r>
      <w:proofErr w:type="gramEnd"/>
      <w:r w:rsidRPr="008458F3">
        <w:rPr>
          <w:lang w:val="en-GB"/>
        </w:rPr>
        <w:t xml:space="preserve"> the EIAR and supplementary information provided by the developer, and the submission from the planning authority, prescribed bodies</w:t>
      </w:r>
      <w:r w:rsidR="002169C1">
        <w:rPr>
          <w:lang w:val="en-GB"/>
        </w:rPr>
        <w:t xml:space="preserve"> and </w:t>
      </w:r>
      <w:r w:rsidR="00692229">
        <w:rPr>
          <w:lang w:val="en-GB"/>
        </w:rPr>
        <w:t xml:space="preserve">observers </w:t>
      </w:r>
      <w:r w:rsidRPr="008458F3">
        <w:rPr>
          <w:lang w:val="en-GB"/>
        </w:rPr>
        <w:t xml:space="preserve">in the course of the application, it is considered that the main significant direct and indirect effects of the proposed development on the environment are, and will be mitigated as follows: </w:t>
      </w:r>
    </w:p>
    <w:p w14:paraId="1BC06224" w14:textId="7698287F" w:rsidR="00567BBD" w:rsidRPr="00FB6B66" w:rsidRDefault="00567BBD" w:rsidP="00567BBD">
      <w:pPr>
        <w:pStyle w:val="BBody1"/>
        <w:numPr>
          <w:ilvl w:val="0"/>
          <w:numId w:val="68"/>
        </w:numPr>
        <w:tabs>
          <w:tab w:val="left" w:pos="0"/>
        </w:tabs>
        <w:jc w:val="both"/>
      </w:pPr>
      <w:r w:rsidRPr="00FB6B66">
        <w:t xml:space="preserve">Negative impacts on </w:t>
      </w:r>
      <w:r w:rsidRPr="00FB6B66">
        <w:rPr>
          <w:b/>
          <w:bCs/>
        </w:rPr>
        <w:t>biodiversity</w:t>
      </w:r>
      <w:r w:rsidRPr="00FB6B66">
        <w:t xml:space="preserve"> arising from construction and decommissioning activities.  The proposed development would give rise to significant localised impacts.  These impacts will be mitigated through the adherence to best practice construction measures and the implementation of a final CEMP.  Excavations will be left with a method of escape</w:t>
      </w:r>
      <w:r w:rsidR="00B52019">
        <w:t xml:space="preserve"> for </w:t>
      </w:r>
      <w:r w:rsidR="0050026C">
        <w:t>m</w:t>
      </w:r>
      <w:r w:rsidR="00B52019">
        <w:t>ammals</w:t>
      </w:r>
      <w:r w:rsidRPr="00FB6B66">
        <w:t xml:space="preserve"> and </w:t>
      </w:r>
      <w:r>
        <w:t>b</w:t>
      </w:r>
      <w:r w:rsidRPr="00FB6B66">
        <w:t xml:space="preserve">reeding </w:t>
      </w:r>
      <w:r>
        <w:t>b</w:t>
      </w:r>
      <w:r w:rsidRPr="00FB6B66">
        <w:t xml:space="preserve">irds and nesting locations will be safeguarded.  </w:t>
      </w:r>
    </w:p>
    <w:p w14:paraId="3E81B58D" w14:textId="77777777" w:rsidR="00567BBD" w:rsidRPr="00DA1A8A" w:rsidRDefault="00567BBD" w:rsidP="00567BBD">
      <w:pPr>
        <w:pStyle w:val="BBody1"/>
        <w:numPr>
          <w:ilvl w:val="0"/>
          <w:numId w:val="68"/>
        </w:numPr>
        <w:tabs>
          <w:tab w:val="left" w:pos="0"/>
        </w:tabs>
        <w:jc w:val="both"/>
      </w:pPr>
      <w:r w:rsidRPr="00DA1A8A">
        <w:t xml:space="preserve">Temporary Adverse impact on </w:t>
      </w:r>
      <w:r w:rsidRPr="00DA1A8A">
        <w:rPr>
          <w:b/>
          <w:bCs/>
        </w:rPr>
        <w:t>landscape and visual</w:t>
      </w:r>
      <w:r w:rsidRPr="00DA1A8A">
        <w:t xml:space="preserve"> during construction due to </w:t>
      </w:r>
      <w:r>
        <w:t>temporary site infrastructure such as machinery etc.  This will be for a limited time and mitigation will include limited use of lighting including directional lighting etc.</w:t>
      </w:r>
    </w:p>
    <w:p w14:paraId="111EBE17" w14:textId="77777777" w:rsidR="00567BBD" w:rsidRDefault="00567BBD" w:rsidP="00567BBD">
      <w:pPr>
        <w:pStyle w:val="BBody1"/>
        <w:numPr>
          <w:ilvl w:val="0"/>
          <w:numId w:val="68"/>
        </w:numPr>
        <w:tabs>
          <w:tab w:val="left" w:pos="0"/>
        </w:tabs>
        <w:jc w:val="both"/>
      </w:pPr>
      <w:r w:rsidRPr="007128D3">
        <w:rPr>
          <w:b/>
          <w:bCs/>
        </w:rPr>
        <w:t xml:space="preserve">Noise </w:t>
      </w:r>
      <w:r w:rsidRPr="007128D3">
        <w:t>effects on NSR 1 will occur during the peak month of construction.  This impact will be temporary and short-term.  Mitigation will include the selection of quieter plant and general mitigation measures comprising those in BS 5228-1 Table B.1.</w:t>
      </w:r>
    </w:p>
    <w:p w14:paraId="636F1FFE" w14:textId="7508BA54" w:rsidR="00567BBD" w:rsidRDefault="00567BBD" w:rsidP="00567BBD">
      <w:pPr>
        <w:pStyle w:val="BBody1"/>
        <w:numPr>
          <w:ilvl w:val="0"/>
          <w:numId w:val="0"/>
        </w:numPr>
        <w:tabs>
          <w:tab w:val="left" w:pos="0"/>
        </w:tabs>
        <w:ind w:left="720"/>
        <w:jc w:val="both"/>
      </w:pPr>
      <w:r w:rsidRPr="00782AED">
        <w:t xml:space="preserve">During operation </w:t>
      </w:r>
      <w:r w:rsidR="007A7F15">
        <w:rPr>
          <w:b/>
          <w:bCs/>
        </w:rPr>
        <w:t>N</w:t>
      </w:r>
      <w:r w:rsidRPr="00782AED">
        <w:rPr>
          <w:b/>
          <w:bCs/>
        </w:rPr>
        <w:t>oise</w:t>
      </w:r>
      <w:r w:rsidRPr="00782AED">
        <w:t xml:space="preserve"> </w:t>
      </w:r>
      <w:r>
        <w:t xml:space="preserve">will impact NSR1.  This is considered a long-term / reversible effect.  This will be mitigated by implementing minimum acoustic requirements on the performance of an acoustic </w:t>
      </w:r>
      <w:r w:rsidR="007A1066">
        <w:t xml:space="preserve">gas turbine air intake </w:t>
      </w:r>
      <w:r>
        <w:t xml:space="preserve">louvre </w:t>
      </w:r>
      <w:r w:rsidR="007A1066">
        <w:t xml:space="preserve">and </w:t>
      </w:r>
      <w:r>
        <w:t>gas turbine building envelope</w:t>
      </w:r>
      <w:r w:rsidR="007A1066">
        <w:t xml:space="preserve"> including wall/roof construction</w:t>
      </w:r>
      <w:r>
        <w:t>.</w:t>
      </w:r>
    </w:p>
    <w:p w14:paraId="392B307C" w14:textId="77777777" w:rsidR="00567BBD" w:rsidRPr="00782AED" w:rsidRDefault="00567BBD" w:rsidP="00567BBD">
      <w:pPr>
        <w:pStyle w:val="BBody1"/>
        <w:numPr>
          <w:ilvl w:val="0"/>
          <w:numId w:val="68"/>
        </w:numPr>
        <w:tabs>
          <w:tab w:val="left" w:pos="0"/>
        </w:tabs>
        <w:jc w:val="both"/>
      </w:pPr>
      <w:r>
        <w:t xml:space="preserve">During construction, there will be temporary negative </w:t>
      </w:r>
      <w:r w:rsidRPr="00CD0C9E">
        <w:rPr>
          <w:b/>
          <w:bCs/>
        </w:rPr>
        <w:t>Traffic and Transport</w:t>
      </w:r>
      <w:r>
        <w:t xml:space="preserve"> effect with HGV construction traffic flow generated by the development on minor roads.  This will be mitigated by the implementation of the detailed Construction Traffic Management Plan (CTMP).</w:t>
      </w:r>
    </w:p>
    <w:p w14:paraId="5FEF5A20" w14:textId="7BCA27C6" w:rsidR="00B54B6D" w:rsidRPr="004B5C94" w:rsidRDefault="00650902" w:rsidP="00392B75">
      <w:pPr>
        <w:pStyle w:val="BBody1"/>
        <w:numPr>
          <w:ilvl w:val="0"/>
          <w:numId w:val="0"/>
        </w:numPr>
        <w:jc w:val="both"/>
      </w:pPr>
      <w:r>
        <w:t xml:space="preserve">In conclusion, having regard to the above identified significant impacts, I am satisfied that the proposed development would not have any unacceptable direct or indirect </w:t>
      </w:r>
      <w:r>
        <w:lastRenderedPageBreak/>
        <w:t xml:space="preserve">impacts on the environment, subject to the implementation of the mitigation and measures outlined in the EIAR, any recommended conditions and adherence to the terms and conditions </w:t>
      </w:r>
      <w:r w:rsidR="00E10051">
        <w:t xml:space="preserve">associated </w:t>
      </w:r>
      <w:r w:rsidR="00F1666B">
        <w:t xml:space="preserve">with </w:t>
      </w:r>
      <w:proofErr w:type="gramStart"/>
      <w:r w:rsidR="00F1666B">
        <w:t xml:space="preserve">any </w:t>
      </w:r>
      <w:r>
        <w:t xml:space="preserve"> EPA</w:t>
      </w:r>
      <w:proofErr w:type="gramEnd"/>
      <w:r>
        <w:t xml:space="preserve"> Industrial Emission Licence</w:t>
      </w:r>
      <w:r w:rsidR="00F1666B">
        <w:t>, should it be granted</w:t>
      </w:r>
      <w:r>
        <w:t>.</w:t>
      </w:r>
    </w:p>
    <w:p w14:paraId="2107F1C5" w14:textId="7C2ADA4F" w:rsidR="00E40DCA" w:rsidRDefault="00F32D80" w:rsidP="00E40DCA">
      <w:pPr>
        <w:pStyle w:val="EHead1"/>
      </w:pPr>
      <w:bookmarkStart w:id="64" w:name="_Toc171346801"/>
      <w:r>
        <w:t>The Likely Significant Effects on a European Site</w:t>
      </w:r>
      <w:bookmarkEnd w:id="64"/>
    </w:p>
    <w:p w14:paraId="2950C4DE" w14:textId="66418400" w:rsidR="00A60E1D" w:rsidRDefault="00837BA7" w:rsidP="00A60E1D">
      <w:pPr>
        <w:pStyle w:val="Heading2"/>
      </w:pPr>
      <w:r>
        <w:t>Introduction</w:t>
      </w:r>
    </w:p>
    <w:p w14:paraId="1A9D477A" w14:textId="6A8B3A9A" w:rsidR="00A60E1D" w:rsidRDefault="00A60E1D" w:rsidP="00A60E1D">
      <w:pPr>
        <w:jc w:val="both"/>
        <w:rPr>
          <w:rFonts w:ascii="Arial" w:hAnsi="Arial" w:cs="Arial"/>
          <w:sz w:val="24"/>
          <w:szCs w:val="24"/>
          <w:lang w:val="en-US"/>
        </w:rPr>
      </w:pPr>
      <w:r>
        <w:rPr>
          <w:rFonts w:ascii="Arial" w:hAnsi="Arial" w:cs="Arial"/>
          <w:sz w:val="24"/>
          <w:szCs w:val="24"/>
          <w:lang w:val="en-US"/>
        </w:rPr>
        <w:t xml:space="preserve">The areas addressed in this section are as </w:t>
      </w:r>
      <w:proofErr w:type="gramStart"/>
      <w:r>
        <w:rPr>
          <w:rFonts w:ascii="Arial" w:hAnsi="Arial" w:cs="Arial"/>
          <w:sz w:val="24"/>
          <w:szCs w:val="24"/>
          <w:lang w:val="en-US"/>
        </w:rPr>
        <w:t>follows</w:t>
      </w:r>
      <w:r w:rsidR="008C6098">
        <w:rPr>
          <w:rFonts w:ascii="Arial" w:hAnsi="Arial" w:cs="Arial"/>
          <w:sz w:val="24"/>
          <w:szCs w:val="24"/>
          <w:lang w:val="en-US"/>
        </w:rPr>
        <w:t>;</w:t>
      </w:r>
      <w:proofErr w:type="gramEnd"/>
    </w:p>
    <w:p w14:paraId="06AD6F7C" w14:textId="6A6853A2" w:rsidR="008C6098" w:rsidRDefault="008C6098" w:rsidP="00C6208E">
      <w:pPr>
        <w:pStyle w:val="ListParagraph"/>
        <w:numPr>
          <w:ilvl w:val="0"/>
          <w:numId w:val="57"/>
        </w:numPr>
        <w:spacing w:after="0" w:line="240" w:lineRule="auto"/>
        <w:jc w:val="both"/>
        <w:rPr>
          <w:lang w:val="en-US"/>
        </w:rPr>
      </w:pPr>
      <w:r>
        <w:rPr>
          <w:lang w:val="en-US"/>
        </w:rPr>
        <w:t>Compliance with Articles 6(3) of the EU Habitats Directive</w:t>
      </w:r>
    </w:p>
    <w:p w14:paraId="5D23B1E1" w14:textId="7EC8095E" w:rsidR="00991565" w:rsidRPr="00A8301F" w:rsidRDefault="008C6098" w:rsidP="00C6208E">
      <w:pPr>
        <w:pStyle w:val="ListParagraph"/>
        <w:numPr>
          <w:ilvl w:val="0"/>
          <w:numId w:val="57"/>
        </w:numPr>
        <w:spacing w:after="0" w:line="240" w:lineRule="auto"/>
        <w:jc w:val="both"/>
        <w:rPr>
          <w:lang w:val="en-US"/>
        </w:rPr>
      </w:pPr>
      <w:r>
        <w:rPr>
          <w:lang w:val="en-US"/>
        </w:rPr>
        <w:t>Appropriate Assessment Screening Determination (See Appendix 2 of this Report)</w:t>
      </w:r>
    </w:p>
    <w:p w14:paraId="66A567B2" w14:textId="5CF3B547" w:rsidR="00991565" w:rsidRPr="008C6098" w:rsidRDefault="00991565" w:rsidP="00C6208E">
      <w:pPr>
        <w:pStyle w:val="ListParagraph"/>
        <w:numPr>
          <w:ilvl w:val="0"/>
          <w:numId w:val="57"/>
        </w:numPr>
        <w:spacing w:after="0" w:line="240" w:lineRule="auto"/>
        <w:jc w:val="both"/>
        <w:rPr>
          <w:lang w:val="en-US"/>
        </w:rPr>
      </w:pPr>
      <w:r>
        <w:rPr>
          <w:lang w:val="en-US"/>
        </w:rPr>
        <w:t>Appropriate Assessment Conclusions</w:t>
      </w:r>
    </w:p>
    <w:p w14:paraId="5F08D5E9" w14:textId="77777777" w:rsidR="00077C35" w:rsidRDefault="00077C35" w:rsidP="00077C35">
      <w:pPr>
        <w:pStyle w:val="Heading2"/>
      </w:pPr>
      <w:bookmarkStart w:id="65" w:name="_Toc163607939"/>
      <w:bookmarkStart w:id="66" w:name="_Toc163722750"/>
      <w:r w:rsidRPr="000903A6">
        <w:t>Compliance with Articles 6(3) of the EU Habitats Directive</w:t>
      </w:r>
      <w:bookmarkEnd w:id="65"/>
      <w:bookmarkEnd w:id="66"/>
    </w:p>
    <w:p w14:paraId="60C88F18" w14:textId="296D9A9C" w:rsidR="00A60E1D" w:rsidRDefault="00077C35" w:rsidP="00077C35">
      <w:pPr>
        <w:pStyle w:val="BBody1"/>
        <w:numPr>
          <w:ilvl w:val="0"/>
          <w:numId w:val="0"/>
        </w:numPr>
        <w:jc w:val="both"/>
      </w:pPr>
      <w:r w:rsidRPr="00983D95">
        <w:t xml:space="preserve">Article 6(3) of this Directive requires that any plan or project not directly connected with or necessary to the management of the site but likely to have a significant effect thereon, either individually or in combination with other plans or projects shall be subject to appropriate assessment of its implications for the site in view of the site’s conservation objectives.  The competent authority must be satisfied that the proposal will not adversely affect the integrity of the European </w:t>
      </w:r>
      <w:r w:rsidR="001C0168">
        <w:t>S</w:t>
      </w:r>
      <w:r w:rsidRPr="00983D95">
        <w:t>ite.</w:t>
      </w:r>
    </w:p>
    <w:p w14:paraId="07BA4BD0" w14:textId="53299360" w:rsidR="003C1630" w:rsidRDefault="003C1630" w:rsidP="003C1630">
      <w:pPr>
        <w:pStyle w:val="Heading2"/>
      </w:pPr>
      <w:r>
        <w:t>The Natura Impact Statement</w:t>
      </w:r>
    </w:p>
    <w:p w14:paraId="3A6FAC14" w14:textId="7C06FF3A" w:rsidR="00F4643F" w:rsidRDefault="003C1630" w:rsidP="003C1630">
      <w:pPr>
        <w:pStyle w:val="BBody1"/>
        <w:numPr>
          <w:ilvl w:val="0"/>
          <w:numId w:val="0"/>
        </w:numPr>
        <w:jc w:val="both"/>
      </w:pPr>
      <w:r w:rsidRPr="00983D95">
        <w:t xml:space="preserve">The application was accompanied by an NIS </w:t>
      </w:r>
      <w:r w:rsidR="001C0168">
        <w:t xml:space="preserve">which </w:t>
      </w:r>
      <w:r w:rsidR="002D7CC5">
        <w:t xml:space="preserve">was prepared in line with current best practice </w:t>
      </w:r>
      <w:r w:rsidR="005845CE">
        <w:t xml:space="preserve">and </w:t>
      </w:r>
      <w:r w:rsidRPr="00983D95">
        <w:t>describe</w:t>
      </w:r>
      <w:r w:rsidR="005845CE">
        <w:t>s</w:t>
      </w:r>
      <w:r w:rsidRPr="00983D95">
        <w:t xml:space="preserve"> the proposed development, the project </w:t>
      </w:r>
      <w:proofErr w:type="gramStart"/>
      <w:r w:rsidRPr="00983D95">
        <w:t>site</w:t>
      </w:r>
      <w:proofErr w:type="gramEnd"/>
      <w:r w:rsidRPr="00983D95">
        <w:t xml:space="preserve"> and the surrounding </w:t>
      </w:r>
      <w:r>
        <w:t xml:space="preserve">area.  The NIS contained a </w:t>
      </w:r>
      <w:r w:rsidRPr="00983D95">
        <w:t xml:space="preserve">Stage 1 Screening Assessment which concluded that a Stage 2 Appropriate Assessment was required. </w:t>
      </w:r>
      <w:r>
        <w:t xml:space="preserve"> </w:t>
      </w:r>
      <w:r w:rsidR="00BD40C2">
        <w:t xml:space="preserve">It concluded </w:t>
      </w:r>
      <w:proofErr w:type="gramStart"/>
      <w:r w:rsidR="00BD40C2">
        <w:t>that</w:t>
      </w:r>
      <w:r w:rsidR="00100B0B">
        <w:t>;</w:t>
      </w:r>
      <w:proofErr w:type="gramEnd"/>
      <w:r w:rsidR="00BD40C2">
        <w:t xml:space="preserve"> </w:t>
      </w:r>
    </w:p>
    <w:p w14:paraId="1139FCD5" w14:textId="1A1F3637" w:rsidR="00C466E6" w:rsidRDefault="00BD40C2" w:rsidP="00F4643F">
      <w:pPr>
        <w:pStyle w:val="BBody1"/>
        <w:numPr>
          <w:ilvl w:val="0"/>
          <w:numId w:val="0"/>
        </w:numPr>
        <w:ind w:left="720"/>
        <w:jc w:val="both"/>
      </w:pPr>
      <w:r>
        <w:t>‘</w:t>
      </w:r>
      <w:r w:rsidRPr="005845CE">
        <w:rPr>
          <w:i/>
          <w:iCs/>
        </w:rPr>
        <w:t>In the absence of mitigation measures, impacts that cannot be excluded comprise those associated with noise and visual disturbance which may arise as result of the construction of the Proposed Development, causing behavioural changes such as displacement or may impact breeding success or even cause injury to species, resulting in the inability for a European site to meet its conservation objectives</w:t>
      </w:r>
      <w:r w:rsidR="00C466E6" w:rsidRPr="005845CE">
        <w:rPr>
          <w:i/>
          <w:iCs/>
        </w:rPr>
        <w:t>’</w:t>
      </w:r>
      <w:r w:rsidRPr="005845CE">
        <w:rPr>
          <w:i/>
          <w:iCs/>
        </w:rPr>
        <w:t>.</w:t>
      </w:r>
      <w:r w:rsidR="00C466E6">
        <w:t xml:space="preserve"> </w:t>
      </w:r>
    </w:p>
    <w:p w14:paraId="155E076A" w14:textId="7FB13DBB" w:rsidR="003C1630" w:rsidRPr="00983D95" w:rsidRDefault="003C1630" w:rsidP="003C1630">
      <w:pPr>
        <w:pStyle w:val="BBody1"/>
        <w:numPr>
          <w:ilvl w:val="0"/>
          <w:numId w:val="0"/>
        </w:numPr>
        <w:jc w:val="both"/>
      </w:pPr>
      <w:r w:rsidRPr="00983D95">
        <w:lastRenderedPageBreak/>
        <w:t xml:space="preserve">The </w:t>
      </w:r>
      <w:r w:rsidR="00C466E6">
        <w:t xml:space="preserve">applicants </w:t>
      </w:r>
      <w:r w:rsidRPr="00983D95">
        <w:t xml:space="preserve">NIS outlined the methodology used for assessing potential impacts on the habitats and species within several European Sites that have the potential to be affected by the proposed development. </w:t>
      </w:r>
      <w:r>
        <w:t xml:space="preserve"> </w:t>
      </w:r>
      <w:r w:rsidRPr="00983D95">
        <w:t xml:space="preserve">It predicted the potential impacts for these sites and their conservation objectives, it suggested mitigation measures, assessed in-combination effects with other plans and projects and it identified any residual effects on the European sites and their conservation objectives. </w:t>
      </w:r>
    </w:p>
    <w:p w14:paraId="5B52DFBC" w14:textId="613CA2DF" w:rsidR="003C1630" w:rsidRPr="004B5C94" w:rsidRDefault="00BD496D" w:rsidP="00077C35">
      <w:pPr>
        <w:pStyle w:val="BBody1"/>
        <w:numPr>
          <w:ilvl w:val="0"/>
          <w:numId w:val="0"/>
        </w:numPr>
        <w:jc w:val="both"/>
      </w:pPr>
      <w:r>
        <w:t xml:space="preserve">The </w:t>
      </w:r>
      <w:r w:rsidR="003C1630" w:rsidRPr="00983D95">
        <w:t>report concluded that, subject to the implementation of best practice and the recommended mitigation measures,</w:t>
      </w:r>
      <w:r w:rsidR="003C1630">
        <w:t xml:space="preserve"> the proposed development would not result in direct, </w:t>
      </w:r>
      <w:proofErr w:type="gramStart"/>
      <w:r w:rsidR="003C1630">
        <w:t>indirect</w:t>
      </w:r>
      <w:proofErr w:type="gramEnd"/>
      <w:r w:rsidR="003C1630">
        <w:t xml:space="preserve"> or cumulative impacts which would have the potential to adversely affect the qualifying interests of these European Sites</w:t>
      </w:r>
      <w:r w:rsidR="00873E1E">
        <w:t>.</w:t>
      </w:r>
      <w:r w:rsidR="00125658">
        <w:t xml:space="preserve">  </w:t>
      </w:r>
    </w:p>
    <w:p w14:paraId="2107F1C6" w14:textId="1DA494AD" w:rsidR="00E40DCA" w:rsidRDefault="008B08E4" w:rsidP="00A80549">
      <w:pPr>
        <w:pStyle w:val="Heading2"/>
      </w:pPr>
      <w:r>
        <w:t>AA Screening Determination (See Appendix 2 of this Report)</w:t>
      </w:r>
    </w:p>
    <w:p w14:paraId="22F7A0C3" w14:textId="595E8C68" w:rsidR="007967E3" w:rsidRDefault="007967E3" w:rsidP="00581365">
      <w:pPr>
        <w:pStyle w:val="BBody1"/>
        <w:numPr>
          <w:ilvl w:val="0"/>
          <w:numId w:val="0"/>
        </w:numPr>
        <w:jc w:val="both"/>
        <w:rPr>
          <w:lang w:val="en-US"/>
        </w:rPr>
      </w:pPr>
      <w:r w:rsidRPr="008B08E4">
        <w:rPr>
          <w:lang w:val="en-US"/>
        </w:rPr>
        <w:t xml:space="preserve">In accordance with Section 177U(4) of the Planning and Development Act 2000 (as amended) and on the basis of objective information, I conclude that the proposed development is likely to have a significant effect on the protected birds and habitat of the </w:t>
      </w:r>
      <w:r w:rsidRPr="008B08E4">
        <w:t>River Shannon and River Fergus Estuaries SPA (004077)</w:t>
      </w:r>
      <w:r w:rsidRPr="008B08E4">
        <w:rPr>
          <w:b/>
          <w:bCs/>
        </w:rPr>
        <w:t xml:space="preserve"> </w:t>
      </w:r>
      <w:r w:rsidRPr="008B08E4">
        <w:rPr>
          <w:lang w:val="en-US"/>
        </w:rPr>
        <w:t>‘alone’ in respect of effects associated with construction noise, vibration and lighting disturbance on bird</w:t>
      </w:r>
      <w:r w:rsidR="00CE69D4">
        <w:rPr>
          <w:lang w:val="en-US"/>
        </w:rPr>
        <w:t xml:space="preserve"> species</w:t>
      </w:r>
      <w:r w:rsidRPr="008B08E4">
        <w:rPr>
          <w:lang w:val="en-US"/>
        </w:rPr>
        <w:t xml:space="preserve"> within the SPA.</w:t>
      </w:r>
      <w:r w:rsidR="00773E0B">
        <w:rPr>
          <w:lang w:val="en-US"/>
        </w:rPr>
        <w:t xml:space="preserve">  In addition, </w:t>
      </w:r>
      <w:r w:rsidR="00E13501">
        <w:rPr>
          <w:lang w:val="en-US"/>
        </w:rPr>
        <w:t xml:space="preserve">the proposed development is likely to have a significant effect on QI species including Lamprey Species, </w:t>
      </w:r>
      <w:proofErr w:type="gramStart"/>
      <w:r w:rsidR="00E13501">
        <w:rPr>
          <w:lang w:val="en-US"/>
        </w:rPr>
        <w:t>Salmon</w:t>
      </w:r>
      <w:proofErr w:type="gramEnd"/>
      <w:r w:rsidR="00E13501">
        <w:rPr>
          <w:lang w:val="en-US"/>
        </w:rPr>
        <w:t xml:space="preserve"> and Dolphin</w:t>
      </w:r>
      <w:r w:rsidR="00AA0195">
        <w:rPr>
          <w:lang w:val="en-US"/>
        </w:rPr>
        <w:t xml:space="preserve"> of the Lower River Shannon SAC (002165) due to noise and vibration disturbance from construction works.</w:t>
      </w:r>
    </w:p>
    <w:p w14:paraId="26E5EBA4" w14:textId="21CAAA14" w:rsidR="00306D10" w:rsidRPr="0079560F" w:rsidRDefault="00306D10" w:rsidP="0079560F">
      <w:pPr>
        <w:pStyle w:val="NormalWeb"/>
        <w:spacing w:before="360" w:after="240" w:line="360" w:lineRule="auto"/>
        <w:jc w:val="both"/>
        <w:rPr>
          <w:rFonts w:ascii="Arial" w:hAnsi="Arial" w:cs="Arial"/>
          <w:color w:val="000000"/>
        </w:rPr>
      </w:pPr>
      <w:r>
        <w:rPr>
          <w:rFonts w:ascii="Arial" w:hAnsi="Arial" w:cs="Arial"/>
          <w:color w:val="000000"/>
        </w:rPr>
        <w:t xml:space="preserve">I do not consider that any other European sites fall within the zone of influence of the project based on a combination of factors including the nature and scale of the project, the distance from the site to European sites, and any potential pathways which may exist from the development site to a European site, aided in part by the applicant’s  </w:t>
      </w:r>
      <w:r w:rsidRPr="006B3649">
        <w:rPr>
          <w:rFonts w:ascii="Arial" w:eastAsia="Calibri" w:hAnsi="Arial" w:cs="Arial"/>
          <w:lang w:eastAsia="en-US"/>
        </w:rPr>
        <w:t xml:space="preserve">Appropriate Assessment Screening Report </w:t>
      </w:r>
      <w:r w:rsidR="00034943">
        <w:rPr>
          <w:rFonts w:ascii="Arial" w:eastAsia="Calibri" w:hAnsi="Arial" w:cs="Arial"/>
          <w:lang w:eastAsia="en-US"/>
        </w:rPr>
        <w:t xml:space="preserve">and NIS </w:t>
      </w:r>
      <w:r w:rsidRPr="006B3649">
        <w:rPr>
          <w:rFonts w:ascii="Arial" w:eastAsia="Calibri" w:hAnsi="Arial" w:cs="Arial"/>
          <w:lang w:eastAsia="en-US"/>
        </w:rPr>
        <w:t xml:space="preserve">for </w:t>
      </w:r>
      <w:r w:rsidR="0079560F">
        <w:rPr>
          <w:rFonts w:ascii="Arial" w:eastAsia="Calibri" w:hAnsi="Arial" w:cs="Arial"/>
          <w:lang w:eastAsia="en-US"/>
        </w:rPr>
        <w:t>the proposed development,</w:t>
      </w:r>
      <w:r>
        <w:rPr>
          <w:rFonts w:ascii="Arial" w:hAnsi="Arial" w:cs="Arial"/>
          <w:color w:val="000000"/>
        </w:rPr>
        <w:t xml:space="preserve"> the conservation objectives of Natura 2000 sites,  the lack of suitable habitat for qualifying interests, as well as by the information on file and I have also visited the site.</w:t>
      </w:r>
    </w:p>
    <w:p w14:paraId="2D638817" w14:textId="09970704" w:rsidR="004E189C" w:rsidRDefault="0076014C" w:rsidP="00581365">
      <w:pPr>
        <w:pStyle w:val="BBody1"/>
        <w:numPr>
          <w:ilvl w:val="0"/>
          <w:numId w:val="0"/>
        </w:numPr>
        <w:jc w:val="both"/>
      </w:pPr>
      <w:r>
        <w:t>The Applicants AA Screening included seven European Sites</w:t>
      </w:r>
      <w:r w:rsidR="00C2438D">
        <w:t xml:space="preserve"> in total</w:t>
      </w:r>
      <w:r>
        <w:t>, two of which lie directly adjacent to the development site</w:t>
      </w:r>
      <w:r w:rsidR="00FD36A2">
        <w:t xml:space="preserve"> including the River Shannon and River </w:t>
      </w:r>
      <w:r w:rsidR="00FD36A2">
        <w:lastRenderedPageBreak/>
        <w:t xml:space="preserve">Fergus Estuaries SPA and </w:t>
      </w:r>
      <w:r w:rsidR="00640306">
        <w:t>the Lower River Shannon SAC</w:t>
      </w:r>
      <w:r w:rsidR="004E189C">
        <w:t xml:space="preserve">, which as </w:t>
      </w:r>
      <w:r w:rsidR="00020BCD">
        <w:t>outlined</w:t>
      </w:r>
      <w:r w:rsidR="004E189C">
        <w:t xml:space="preserve"> above have been screened in for Stage 2 assessment</w:t>
      </w:r>
      <w:r>
        <w:t xml:space="preserve">.  </w:t>
      </w:r>
    </w:p>
    <w:p w14:paraId="1154E658" w14:textId="0BF318B9" w:rsidR="006D7DE0" w:rsidRDefault="0076014C" w:rsidP="00581365">
      <w:pPr>
        <w:pStyle w:val="BBody1"/>
        <w:numPr>
          <w:ilvl w:val="0"/>
          <w:numId w:val="0"/>
        </w:numPr>
        <w:jc w:val="both"/>
      </w:pPr>
      <w:r>
        <w:t>The other sites included in the</w:t>
      </w:r>
      <w:r w:rsidR="00640306">
        <w:t xml:space="preserve"> applicants</w:t>
      </w:r>
      <w:r>
        <w:t xml:space="preserve"> AA Screening range from 6.6km to 106km </w:t>
      </w:r>
      <w:r w:rsidR="00640306">
        <w:t xml:space="preserve">in distance </w:t>
      </w:r>
      <w:r>
        <w:t>from the proposed development site.  The reason for inclusion of the Blasket Islands SAC, the Kilkieran Bay and Islands SAC and the Slyne Head Islands SAC which range from 89km to 134km distance from the site relates to the impact of construction phase noise and vibration disturbance on</w:t>
      </w:r>
      <w:r w:rsidR="00E42D87">
        <w:t xml:space="preserve"> the QI’s (Qualifying Interests) which include the</w:t>
      </w:r>
      <w:r>
        <w:t xml:space="preserve"> harbour porpoise, harbour seal, bottlenose dolphin and grey seals.  These </w:t>
      </w:r>
      <w:proofErr w:type="gramStart"/>
      <w:r>
        <w:t>QI’s</w:t>
      </w:r>
      <w:proofErr w:type="gramEnd"/>
      <w:r>
        <w:t xml:space="preserve"> are mobile and from surveys carried out, do not appear to regularly use the Shannon Estuary.  </w:t>
      </w:r>
    </w:p>
    <w:p w14:paraId="3FF321E9" w14:textId="27793300" w:rsidR="00902ECC" w:rsidRDefault="00965A17" w:rsidP="0068235E">
      <w:pPr>
        <w:pStyle w:val="BBody1"/>
        <w:numPr>
          <w:ilvl w:val="0"/>
          <w:numId w:val="0"/>
        </w:numPr>
        <w:jc w:val="both"/>
      </w:pPr>
      <w:r>
        <w:t xml:space="preserve">The </w:t>
      </w:r>
      <w:r w:rsidR="002E08F7">
        <w:t>Blasket Islands SAC is located c. 89km from the proposed development site.  Its</w:t>
      </w:r>
      <w:r w:rsidR="00A81F30">
        <w:t xml:space="preserve"> mobile</w:t>
      </w:r>
      <w:r w:rsidR="00C87EA0">
        <w:t xml:space="preserve"> </w:t>
      </w:r>
      <w:proofErr w:type="gramStart"/>
      <w:r w:rsidR="009F2ECC">
        <w:t>QI’s</w:t>
      </w:r>
      <w:proofErr w:type="gramEnd"/>
      <w:r w:rsidR="002E08F7">
        <w:t xml:space="preserve"> include </w:t>
      </w:r>
      <w:r w:rsidR="00623AE0">
        <w:t>the h</w:t>
      </w:r>
      <w:r w:rsidR="00A81F30">
        <w:t xml:space="preserve">arbour porpoise and </w:t>
      </w:r>
      <w:r w:rsidR="00623AE0">
        <w:t>the g</w:t>
      </w:r>
      <w:r w:rsidR="00A81F30">
        <w:t xml:space="preserve">rey seal. </w:t>
      </w:r>
      <w:r w:rsidR="00F04AEB">
        <w:t xml:space="preserve">Construction noise and vibration </w:t>
      </w:r>
      <w:proofErr w:type="gramStart"/>
      <w:r w:rsidR="00F04AEB">
        <w:t>are considered to be</w:t>
      </w:r>
      <w:proofErr w:type="gramEnd"/>
      <w:r w:rsidR="00F04AEB">
        <w:t xml:space="preserve"> the main impacts which could affect the QI’s.  </w:t>
      </w:r>
      <w:r w:rsidR="00B07A3C">
        <w:t xml:space="preserve">Harbour </w:t>
      </w:r>
      <w:r w:rsidR="00247C7E">
        <w:t>porpoise</w:t>
      </w:r>
      <w:r w:rsidR="00D77D29">
        <w:t xml:space="preserve"> is</w:t>
      </w:r>
      <w:r w:rsidR="009D4FD8">
        <w:t xml:space="preserve"> unlikely to be affected by vibration because the </w:t>
      </w:r>
      <w:r w:rsidR="00ED14F1">
        <w:t>vibrations from piling works are likely to be attenuated within the site itself</w:t>
      </w:r>
      <w:r w:rsidR="00356950">
        <w:t xml:space="preserve"> (20-50m from vibration source)</w:t>
      </w:r>
      <w:r w:rsidR="007916E9">
        <w:t xml:space="preserve"> and given the depth of the water</w:t>
      </w:r>
      <w:r w:rsidR="00356950">
        <w:t xml:space="preserve"> </w:t>
      </w:r>
      <w:r w:rsidR="00A94342">
        <w:t>in the SAC within</w:t>
      </w:r>
      <w:r w:rsidR="00356950">
        <w:t xml:space="preserve"> 100m from </w:t>
      </w:r>
      <w:r w:rsidR="00703306">
        <w:t>the piling works, porpo</w:t>
      </w:r>
      <w:r w:rsidR="002169BB">
        <w:t>i</w:t>
      </w:r>
      <w:r w:rsidR="00703306">
        <w:t>se are unlikely to</w:t>
      </w:r>
      <w:r w:rsidR="005437B4">
        <w:t xml:space="preserve"> </w:t>
      </w:r>
      <w:proofErr w:type="gramStart"/>
      <w:r w:rsidR="005437B4">
        <w:t>be</w:t>
      </w:r>
      <w:r w:rsidR="00703306">
        <w:t xml:space="preserve"> </w:t>
      </w:r>
      <w:r w:rsidR="002169BB">
        <w:t>located in</w:t>
      </w:r>
      <w:proofErr w:type="gramEnd"/>
      <w:r w:rsidR="002169BB">
        <w:t xml:space="preserve"> this zone.  </w:t>
      </w:r>
      <w:r w:rsidR="002953DE">
        <w:t xml:space="preserve">Grey seals </w:t>
      </w:r>
      <w:r w:rsidR="00067C39">
        <w:t xml:space="preserve">are </w:t>
      </w:r>
      <w:r w:rsidR="0068235E">
        <w:t xml:space="preserve">also </w:t>
      </w:r>
      <w:r w:rsidR="00067C39">
        <w:t>unlikely to be within 100m of the piling works and being mobile</w:t>
      </w:r>
      <w:r w:rsidR="001B05BA">
        <w:t xml:space="preserve"> mammal</w:t>
      </w:r>
      <w:r w:rsidR="004A5146">
        <w:t>s</w:t>
      </w:r>
      <w:r w:rsidR="00067C39">
        <w:t xml:space="preserve">, they can move out of range if necessary.  </w:t>
      </w:r>
      <w:r w:rsidR="00B07A3C">
        <w:t>Only several individuals of grey seal have been recorded in the past three surveys</w:t>
      </w:r>
      <w:r w:rsidR="00E374E9">
        <w:t xml:space="preserve"> in the area and are unlikely to be from the Blasket Islands SAC</w:t>
      </w:r>
      <w:r w:rsidR="00B07A3C">
        <w:t xml:space="preserve">, therefore I consider </w:t>
      </w:r>
      <w:r w:rsidR="00FC1BF7">
        <w:t xml:space="preserve">that </w:t>
      </w:r>
      <w:r w:rsidR="00B07A3C">
        <w:t xml:space="preserve">any noise </w:t>
      </w:r>
      <w:r w:rsidR="0068235E">
        <w:t xml:space="preserve">and vibration </w:t>
      </w:r>
      <w:r w:rsidR="00B07A3C">
        <w:t>arising from the construction works will not have a significant effect on the SAC population of the Blasket Islands SAC</w:t>
      </w:r>
      <w:r w:rsidR="00F02971">
        <w:t xml:space="preserve"> including the </w:t>
      </w:r>
      <w:r w:rsidR="003A3AF5">
        <w:t>h</w:t>
      </w:r>
      <w:r w:rsidR="00F02971">
        <w:t xml:space="preserve">arbour porpoise and </w:t>
      </w:r>
      <w:r w:rsidR="003A3AF5">
        <w:t>g</w:t>
      </w:r>
      <w:r w:rsidR="00F02971">
        <w:t>rey seal</w:t>
      </w:r>
      <w:r w:rsidR="00A32055">
        <w:t xml:space="preserve"> due to the distance between the sites and the </w:t>
      </w:r>
      <w:r w:rsidR="00C16D4A">
        <w:t>fact that the Q</w:t>
      </w:r>
      <w:r w:rsidR="00125151">
        <w:t>I</w:t>
      </w:r>
      <w:r w:rsidR="00C16D4A">
        <w:t>s are unlikely to be within 100m of the piling works</w:t>
      </w:r>
      <w:r w:rsidR="00B07A3C">
        <w:t>.</w:t>
      </w:r>
      <w:r w:rsidR="00C87EA0">
        <w:t xml:space="preserve">  </w:t>
      </w:r>
    </w:p>
    <w:p w14:paraId="4CC64D41" w14:textId="4688756A" w:rsidR="00E14D4B" w:rsidRDefault="00E14D4B" w:rsidP="0068235E">
      <w:pPr>
        <w:pStyle w:val="BBody1"/>
        <w:numPr>
          <w:ilvl w:val="0"/>
          <w:numId w:val="0"/>
        </w:numPr>
        <w:jc w:val="both"/>
      </w:pPr>
      <w:r>
        <w:t xml:space="preserve">Slyne Head Islands SAC is located </w:t>
      </w:r>
      <w:r w:rsidR="00AB3083">
        <w:t xml:space="preserve">c. </w:t>
      </w:r>
      <w:r>
        <w:t>106km northwest of the proposed development site.  Its QI</w:t>
      </w:r>
      <w:r w:rsidR="00861747">
        <w:t>s</w:t>
      </w:r>
      <w:r>
        <w:t xml:space="preserve"> </w:t>
      </w:r>
      <w:r w:rsidR="00861747">
        <w:t>are</w:t>
      </w:r>
      <w:r>
        <w:t xml:space="preserve"> the </w:t>
      </w:r>
      <w:r w:rsidR="003A3AF5">
        <w:t>g</w:t>
      </w:r>
      <w:r>
        <w:t>rey seal</w:t>
      </w:r>
      <w:r w:rsidR="006E2A75">
        <w:t xml:space="preserve"> and the </w:t>
      </w:r>
      <w:r w:rsidR="003A3AF5">
        <w:t>c</w:t>
      </w:r>
      <w:r w:rsidR="006E2A75">
        <w:t>ommon bottlenose dolphin</w:t>
      </w:r>
      <w:r>
        <w:t xml:space="preserve">.  </w:t>
      </w:r>
      <w:r w:rsidR="006E2A75">
        <w:t xml:space="preserve">For </w:t>
      </w:r>
      <w:r w:rsidR="00957EC4">
        <w:t xml:space="preserve">similar </w:t>
      </w:r>
      <w:r w:rsidR="006E2A75">
        <w:t>reasons outlined</w:t>
      </w:r>
      <w:r w:rsidR="00861747">
        <w:t xml:space="preserve"> above, I consider that noise and vibration arising from the construction works will not have a significant effect on the </w:t>
      </w:r>
      <w:r w:rsidR="00EC57CE">
        <w:t xml:space="preserve">population </w:t>
      </w:r>
      <w:r w:rsidR="00861747">
        <w:t>of the Slyne Head Islands SAC</w:t>
      </w:r>
      <w:r w:rsidR="00EC57CE">
        <w:t xml:space="preserve"> including the grey seal or bottlenose dolphin</w:t>
      </w:r>
      <w:r w:rsidR="00D66C89">
        <w:t>,</w:t>
      </w:r>
      <w:r w:rsidR="00E249D7">
        <w:t xml:space="preserve"> based on the distance between the sites </w:t>
      </w:r>
      <w:r w:rsidR="00716250">
        <w:t xml:space="preserve">(106km) </w:t>
      </w:r>
      <w:r w:rsidR="00E249D7">
        <w:t xml:space="preserve">and the </w:t>
      </w:r>
      <w:r w:rsidR="002414F9">
        <w:t>fact that the QI’s are unlikely to be within 100m of the piling works</w:t>
      </w:r>
      <w:r w:rsidR="00861747">
        <w:t>.</w:t>
      </w:r>
    </w:p>
    <w:p w14:paraId="7A3147C3" w14:textId="07AB56DC" w:rsidR="00A04070" w:rsidRDefault="00A04070" w:rsidP="0068235E">
      <w:pPr>
        <w:pStyle w:val="BBody1"/>
        <w:numPr>
          <w:ilvl w:val="0"/>
          <w:numId w:val="0"/>
        </w:numPr>
        <w:jc w:val="both"/>
      </w:pPr>
      <w:r>
        <w:t xml:space="preserve">The </w:t>
      </w:r>
      <w:r w:rsidR="00056983">
        <w:t xml:space="preserve">Harbour Seal is the </w:t>
      </w:r>
      <w:r w:rsidR="00A81F30">
        <w:t xml:space="preserve">mobile </w:t>
      </w:r>
      <w:r w:rsidR="00056983">
        <w:t>QI for the Kilkieran Bay and Islands SAC</w:t>
      </w:r>
      <w:r w:rsidR="00B940F3">
        <w:t xml:space="preserve">, which is located </w:t>
      </w:r>
      <w:r w:rsidR="00AB3083">
        <w:t xml:space="preserve">c. </w:t>
      </w:r>
      <w:r w:rsidR="00B940F3">
        <w:t>100km from the proposed development site</w:t>
      </w:r>
      <w:r w:rsidR="00056983">
        <w:t xml:space="preserve">.  </w:t>
      </w:r>
      <w:proofErr w:type="gramStart"/>
      <w:r w:rsidR="00056983">
        <w:t>Similar to</w:t>
      </w:r>
      <w:proofErr w:type="gramEnd"/>
      <w:r w:rsidR="00056983">
        <w:t xml:space="preserve"> the </w:t>
      </w:r>
      <w:r w:rsidR="0030598B">
        <w:t>g</w:t>
      </w:r>
      <w:r w:rsidR="00B940F3">
        <w:t xml:space="preserve">rey </w:t>
      </w:r>
      <w:r w:rsidR="0030598B">
        <w:t>s</w:t>
      </w:r>
      <w:r w:rsidR="00B940F3">
        <w:t>eal</w:t>
      </w:r>
      <w:r w:rsidR="0030598B">
        <w:t xml:space="preserve">, </w:t>
      </w:r>
      <w:r w:rsidR="00F63710">
        <w:t xml:space="preserve">I </w:t>
      </w:r>
      <w:r w:rsidR="00F63710">
        <w:lastRenderedPageBreak/>
        <w:t>consider the harbour seal is unlikely to be located</w:t>
      </w:r>
      <w:r w:rsidR="00FC1C1A">
        <w:t xml:space="preserve"> within</w:t>
      </w:r>
      <w:r w:rsidR="00F63710">
        <w:t xml:space="preserve"> 100m </w:t>
      </w:r>
      <w:r w:rsidR="00FC1C1A">
        <w:t>of</w:t>
      </w:r>
      <w:r w:rsidR="00F63710">
        <w:t xml:space="preserve"> the piling works</w:t>
      </w:r>
      <w:r w:rsidR="00AC5127">
        <w:t xml:space="preserve"> and therefore construction</w:t>
      </w:r>
      <w:r w:rsidR="00FC1C1A">
        <w:t xml:space="preserve"> noise and vibration</w:t>
      </w:r>
      <w:r w:rsidR="00AC5127">
        <w:t xml:space="preserve"> works are not likely to have a significant effect on this species</w:t>
      </w:r>
      <w:r w:rsidR="00735022">
        <w:t xml:space="preserve"> of the SAC</w:t>
      </w:r>
      <w:r w:rsidR="00AC5127">
        <w:t>.</w:t>
      </w:r>
      <w:r w:rsidR="000A48F9">
        <w:t xml:space="preserve">  I consider that the distance </w:t>
      </w:r>
      <w:r w:rsidR="00DF3D38">
        <w:t xml:space="preserve">of </w:t>
      </w:r>
      <w:r w:rsidR="00A21C21">
        <w:t xml:space="preserve">c. </w:t>
      </w:r>
      <w:r w:rsidR="00DF3D38">
        <w:t xml:space="preserve">100km </w:t>
      </w:r>
      <w:r w:rsidR="000A48F9">
        <w:t xml:space="preserve">between the proposed development site and the </w:t>
      </w:r>
      <w:r w:rsidR="009B7A75">
        <w:t>KilKieran Bay and Islands SAC to be</w:t>
      </w:r>
      <w:r w:rsidR="00DF3D38">
        <w:t xml:space="preserve"> sufficient </w:t>
      </w:r>
      <w:r w:rsidR="00A21C21">
        <w:t>to exclude</w:t>
      </w:r>
      <w:r w:rsidR="00DF3D38">
        <w:t xml:space="preserve"> likely</w:t>
      </w:r>
      <w:r w:rsidR="00275382">
        <w:t xml:space="preserve"> signi</w:t>
      </w:r>
      <w:r w:rsidR="00622DDB">
        <w:t>fi</w:t>
      </w:r>
      <w:r w:rsidR="00275382">
        <w:t>cant</w:t>
      </w:r>
      <w:r w:rsidR="00DF3D38">
        <w:t xml:space="preserve"> impact</w:t>
      </w:r>
      <w:r w:rsidR="00275382">
        <w:t>s</w:t>
      </w:r>
      <w:r w:rsidR="00DF3D38">
        <w:t xml:space="preserve"> on the </w:t>
      </w:r>
      <w:r w:rsidR="00622DDB">
        <w:t>SAC population.</w:t>
      </w:r>
    </w:p>
    <w:p w14:paraId="01729DD3" w14:textId="438DB626" w:rsidR="0010062A" w:rsidRDefault="00726A4F" w:rsidP="00581365">
      <w:pPr>
        <w:pStyle w:val="BBody1"/>
        <w:numPr>
          <w:ilvl w:val="0"/>
          <w:numId w:val="0"/>
        </w:numPr>
        <w:jc w:val="both"/>
      </w:pPr>
      <w:r>
        <w:t xml:space="preserve">Unlike the applicants </w:t>
      </w:r>
      <w:r w:rsidR="000937CF">
        <w:t>AA Screening</w:t>
      </w:r>
      <w:r>
        <w:t xml:space="preserve">, </w:t>
      </w:r>
      <w:r w:rsidR="0076014C">
        <w:t xml:space="preserve">I </w:t>
      </w:r>
      <w:proofErr w:type="gramStart"/>
      <w:r w:rsidR="0076014C">
        <w:t>am of the opinion that</w:t>
      </w:r>
      <w:proofErr w:type="gramEnd"/>
      <w:r w:rsidR="0076014C">
        <w:t xml:space="preserve"> these sites are of sufficient distance from the proposed development site </w:t>
      </w:r>
      <w:r w:rsidR="00427DF6">
        <w:t xml:space="preserve">and that there will be no significant impact from construction noise or vibration </w:t>
      </w:r>
      <w:r w:rsidR="0076014C">
        <w:t>that there will be no adverse effect on these QI’s and hence they can be screened out at Stage 1.</w:t>
      </w:r>
      <w:r w:rsidR="00CE5FBC">
        <w:t xml:space="preserve">  </w:t>
      </w:r>
    </w:p>
    <w:p w14:paraId="2B574B08" w14:textId="6CE0031D" w:rsidR="0076014C" w:rsidRDefault="0076014C" w:rsidP="00581365">
      <w:pPr>
        <w:pStyle w:val="BBody1"/>
        <w:numPr>
          <w:ilvl w:val="0"/>
          <w:numId w:val="0"/>
        </w:numPr>
        <w:jc w:val="both"/>
      </w:pPr>
      <w:r>
        <w:t>Two other land</w:t>
      </w:r>
      <w:r w:rsidR="00221286">
        <w:t>-</w:t>
      </w:r>
      <w:r>
        <w:t xml:space="preserve">based </w:t>
      </w:r>
      <w:r w:rsidR="00E012E1">
        <w:t xml:space="preserve">European Sites were screened out at Stage 1 </w:t>
      </w:r>
      <w:r w:rsidR="00701524">
        <w:t xml:space="preserve">in the </w:t>
      </w:r>
      <w:proofErr w:type="gramStart"/>
      <w:r w:rsidR="00701524">
        <w:t>applicants</w:t>
      </w:r>
      <w:proofErr w:type="gramEnd"/>
      <w:r w:rsidR="00701524">
        <w:t xml:space="preserve"> report including Stack’s to Mullaghareirk Mountains, West Limerick Hills and Mount Eagle SPA </w:t>
      </w:r>
      <w:r w:rsidR="00635F30">
        <w:t>and Moanveanlagh Bog.  These were screened out due to ther</w:t>
      </w:r>
      <w:r w:rsidR="00696190">
        <w:t>e</w:t>
      </w:r>
      <w:r w:rsidR="00635F30">
        <w:t xml:space="preserve"> being no direct hydrological link and hence, no likely </w:t>
      </w:r>
      <w:r w:rsidR="00696190">
        <w:t>significant</w:t>
      </w:r>
      <w:r w:rsidR="00635F30">
        <w:t xml:space="preserve"> </w:t>
      </w:r>
      <w:r w:rsidR="00696190">
        <w:t xml:space="preserve">effects.  </w:t>
      </w:r>
      <w:r w:rsidR="00B92BC9">
        <w:t xml:space="preserve">I </w:t>
      </w:r>
      <w:r w:rsidR="005F1748">
        <w:t>consider there is no direct link</w:t>
      </w:r>
      <w:r w:rsidR="006C2002">
        <w:t xml:space="preserve"> hydrologically or otherwise</w:t>
      </w:r>
      <w:r w:rsidR="005F1748">
        <w:t xml:space="preserve"> between the proposed development </w:t>
      </w:r>
      <w:r w:rsidR="002224A3">
        <w:t xml:space="preserve">site </w:t>
      </w:r>
      <w:r w:rsidR="005F1748">
        <w:t>and these two European Sites and consider they can also be screen</w:t>
      </w:r>
      <w:r w:rsidR="003E5BC0">
        <w:t>ed</w:t>
      </w:r>
      <w:r w:rsidR="005F1748">
        <w:t xml:space="preserve"> out at Stage 1.</w:t>
      </w:r>
      <w:r w:rsidR="00BA69C0">
        <w:t xml:space="preserve">  </w:t>
      </w:r>
    </w:p>
    <w:p w14:paraId="0D549D0E" w14:textId="7358AB2F" w:rsidR="0032796D" w:rsidRDefault="00914311" w:rsidP="00581365">
      <w:pPr>
        <w:pStyle w:val="BBody1"/>
        <w:numPr>
          <w:ilvl w:val="0"/>
          <w:numId w:val="0"/>
        </w:numPr>
        <w:jc w:val="both"/>
        <w:rPr>
          <w:lang w:eastAsia="en-IE"/>
        </w:rPr>
      </w:pPr>
      <w:r>
        <w:rPr>
          <w:lang w:eastAsia="en-IE"/>
        </w:rPr>
        <w:t>It is therefore reasonable to conclude that on the basis of the information on the file, which I consider adequate in order to issue a screening determination, that the proposed development, individually or in combination with other plans or projects would not be likely to have a significant effect on</w:t>
      </w:r>
      <w:r w:rsidR="00DC540E">
        <w:rPr>
          <w:lang w:eastAsia="en-IE"/>
        </w:rPr>
        <w:t xml:space="preserve"> the following</w:t>
      </w:r>
      <w:r>
        <w:rPr>
          <w:lang w:eastAsia="en-IE"/>
        </w:rPr>
        <w:t xml:space="preserve"> European Sites </w:t>
      </w:r>
      <w:r w:rsidR="00721C9E">
        <w:rPr>
          <w:lang w:eastAsia="en-IE"/>
        </w:rPr>
        <w:t xml:space="preserve">in view of the site(s) conservation </w:t>
      </w:r>
      <w:proofErr w:type="gramStart"/>
      <w:r w:rsidR="00721C9E">
        <w:rPr>
          <w:lang w:eastAsia="en-IE"/>
        </w:rPr>
        <w:t>objectives</w:t>
      </w:r>
      <w:r w:rsidR="0032796D">
        <w:rPr>
          <w:lang w:eastAsia="en-IE"/>
        </w:rPr>
        <w:t>;</w:t>
      </w:r>
      <w:proofErr w:type="gramEnd"/>
    </w:p>
    <w:p w14:paraId="575074A7" w14:textId="77777777" w:rsidR="004D62C5" w:rsidRDefault="00FD5EB2" w:rsidP="00C6208E">
      <w:pPr>
        <w:pStyle w:val="BBody1"/>
        <w:numPr>
          <w:ilvl w:val="0"/>
          <w:numId w:val="61"/>
        </w:numPr>
        <w:jc w:val="both"/>
      </w:pPr>
      <w:r>
        <w:t>Stack's to Mullaghareirk Mountains, West Limerick Hills and Mount Eagle SPA [004161]</w:t>
      </w:r>
    </w:p>
    <w:p w14:paraId="32BE5706" w14:textId="3C3DAEA3" w:rsidR="0032796D" w:rsidRDefault="004D62C5" w:rsidP="00C6208E">
      <w:pPr>
        <w:pStyle w:val="BBody1"/>
        <w:numPr>
          <w:ilvl w:val="0"/>
          <w:numId w:val="61"/>
        </w:numPr>
        <w:jc w:val="both"/>
      </w:pPr>
      <w:r>
        <w:t>Moanveanlagh Bog SAC [002351]</w:t>
      </w:r>
    </w:p>
    <w:p w14:paraId="5B79BD7C" w14:textId="693AC94B" w:rsidR="004D62C5" w:rsidRDefault="004D62C5" w:rsidP="00C6208E">
      <w:pPr>
        <w:pStyle w:val="BBody1"/>
        <w:numPr>
          <w:ilvl w:val="0"/>
          <w:numId w:val="61"/>
        </w:numPr>
        <w:jc w:val="both"/>
      </w:pPr>
      <w:r>
        <w:t>Blasket Islands SAC [002172]</w:t>
      </w:r>
    </w:p>
    <w:p w14:paraId="73E9FC8B" w14:textId="7B1976BE" w:rsidR="00DE68C4" w:rsidRDefault="00DE68C4" w:rsidP="00C6208E">
      <w:pPr>
        <w:pStyle w:val="BBody1"/>
        <w:numPr>
          <w:ilvl w:val="0"/>
          <w:numId w:val="61"/>
        </w:numPr>
        <w:jc w:val="both"/>
        <w:rPr>
          <w:lang w:eastAsia="en-IE"/>
        </w:rPr>
      </w:pPr>
      <w:r>
        <w:t>Kilkieran Bay and Islands SAC [002111]</w:t>
      </w:r>
    </w:p>
    <w:p w14:paraId="3C402546" w14:textId="137F93B5" w:rsidR="0032796D" w:rsidRDefault="00DE68C4" w:rsidP="00C6208E">
      <w:pPr>
        <w:pStyle w:val="BBody1"/>
        <w:numPr>
          <w:ilvl w:val="0"/>
          <w:numId w:val="61"/>
        </w:numPr>
        <w:jc w:val="both"/>
        <w:rPr>
          <w:lang w:eastAsia="en-IE"/>
        </w:rPr>
      </w:pPr>
      <w:r>
        <w:rPr>
          <w:lang w:eastAsia="en-IE"/>
        </w:rPr>
        <w:t>S</w:t>
      </w:r>
      <w:r>
        <w:t>lyne Head Islands SAC [000328]</w:t>
      </w:r>
    </w:p>
    <w:p w14:paraId="7EECB8F9" w14:textId="23A71D42" w:rsidR="00914311" w:rsidRPr="0076014C" w:rsidRDefault="004D011B" w:rsidP="00581365">
      <w:pPr>
        <w:pStyle w:val="BBody1"/>
        <w:numPr>
          <w:ilvl w:val="0"/>
          <w:numId w:val="0"/>
        </w:numPr>
        <w:jc w:val="both"/>
      </w:pPr>
      <w:r>
        <w:rPr>
          <w:lang w:eastAsia="en-IE"/>
        </w:rPr>
        <w:t>I conclude that a</w:t>
      </w:r>
      <w:r w:rsidR="00914311">
        <w:rPr>
          <w:lang w:eastAsia="en-IE"/>
        </w:rPr>
        <w:t xml:space="preserve"> Stage 2 Appropriate Assessment is not therefore required for the</w:t>
      </w:r>
      <w:r w:rsidR="00EB1C1C">
        <w:rPr>
          <w:lang w:eastAsia="en-IE"/>
        </w:rPr>
        <w:t xml:space="preserve"> five sites</w:t>
      </w:r>
      <w:r w:rsidR="00914311">
        <w:rPr>
          <w:lang w:eastAsia="en-IE"/>
        </w:rPr>
        <w:t xml:space="preserve"> </w:t>
      </w:r>
      <w:r w:rsidR="00EB1C1C">
        <w:rPr>
          <w:lang w:eastAsia="en-IE"/>
        </w:rPr>
        <w:t>outlined above</w:t>
      </w:r>
      <w:r w:rsidR="00914311">
        <w:rPr>
          <w:lang w:eastAsia="en-IE"/>
        </w:rPr>
        <w:t>.</w:t>
      </w:r>
    </w:p>
    <w:p w14:paraId="40D8BD0A" w14:textId="6D78D4D1" w:rsidR="0083322C" w:rsidRDefault="00EB1C1C" w:rsidP="00ED3D2F">
      <w:pPr>
        <w:pStyle w:val="BBody1"/>
        <w:numPr>
          <w:ilvl w:val="0"/>
          <w:numId w:val="0"/>
        </w:numPr>
        <w:jc w:val="both"/>
        <w:rPr>
          <w:lang w:val="en-US"/>
        </w:rPr>
      </w:pPr>
      <w:r>
        <w:rPr>
          <w:lang w:val="en-US"/>
        </w:rPr>
        <w:t xml:space="preserve">To conclude, </w:t>
      </w:r>
      <w:r w:rsidR="00344D79">
        <w:rPr>
          <w:lang w:val="en-US"/>
        </w:rPr>
        <w:t xml:space="preserve">I consider </w:t>
      </w:r>
      <w:r w:rsidR="007967E3" w:rsidRPr="008B08E4">
        <w:rPr>
          <w:lang w:val="en-US"/>
        </w:rPr>
        <w:t xml:space="preserve">that Appropriate Assessment (stage 2) [under Section 177V of the Planning and Development Act 2000] is required </w:t>
      </w:r>
      <w:proofErr w:type="gramStart"/>
      <w:r w:rsidR="007967E3" w:rsidRPr="008B08E4">
        <w:rPr>
          <w:lang w:val="en-US"/>
        </w:rPr>
        <w:t>on the basis of</w:t>
      </w:r>
      <w:proofErr w:type="gramEnd"/>
      <w:r w:rsidR="007967E3" w:rsidRPr="008B08E4">
        <w:rPr>
          <w:lang w:val="en-US"/>
        </w:rPr>
        <w:t xml:space="preserve"> the effects of </w:t>
      </w:r>
      <w:r w:rsidR="007967E3" w:rsidRPr="008B08E4">
        <w:rPr>
          <w:lang w:val="en-US"/>
        </w:rPr>
        <w:lastRenderedPageBreak/>
        <w:t>the project ‘alone’</w:t>
      </w:r>
      <w:r w:rsidR="00ED3D2F">
        <w:rPr>
          <w:lang w:val="en-US"/>
        </w:rPr>
        <w:t xml:space="preserve"> for the following sites</w:t>
      </w:r>
      <w:r w:rsidR="00344D79">
        <w:rPr>
          <w:lang w:val="en-US"/>
        </w:rPr>
        <w:t>,</w:t>
      </w:r>
      <w:r w:rsidR="00ED3D2F">
        <w:rPr>
          <w:lang w:val="en-US"/>
        </w:rPr>
        <w:t xml:space="preserve"> for which t</w:t>
      </w:r>
      <w:r w:rsidR="0083322C">
        <w:rPr>
          <w:lang w:val="en-US"/>
        </w:rPr>
        <w:t>he potential for significant effects could not be excluded:</w:t>
      </w:r>
    </w:p>
    <w:p w14:paraId="55D907A4" w14:textId="77777777" w:rsidR="0083322C" w:rsidRPr="0083322C" w:rsidRDefault="0083322C" w:rsidP="00C6208E">
      <w:pPr>
        <w:pStyle w:val="BBody1"/>
        <w:numPr>
          <w:ilvl w:val="1"/>
          <w:numId w:val="59"/>
        </w:numPr>
        <w:rPr>
          <w:b/>
          <w:bCs/>
          <w:lang w:val="en-US"/>
        </w:rPr>
      </w:pPr>
      <w:r w:rsidRPr="0083322C">
        <w:rPr>
          <w:b/>
          <w:bCs/>
          <w:lang w:val="en-US"/>
        </w:rPr>
        <w:t>the River Shannon and River Fergus Estuaries SPA (004077)</w:t>
      </w:r>
    </w:p>
    <w:p w14:paraId="5B3FFCF9" w14:textId="58BBC47F" w:rsidR="0083322C" w:rsidRPr="0083322C" w:rsidRDefault="0083322C" w:rsidP="00C6208E">
      <w:pPr>
        <w:pStyle w:val="BBody1"/>
        <w:numPr>
          <w:ilvl w:val="1"/>
          <w:numId w:val="60"/>
        </w:numPr>
        <w:rPr>
          <w:b/>
          <w:bCs/>
        </w:rPr>
      </w:pPr>
      <w:r w:rsidRPr="0083322C">
        <w:rPr>
          <w:b/>
          <w:bCs/>
          <w:lang w:val="en-US"/>
        </w:rPr>
        <w:t>the Lower River Shannon SAC (002165)</w:t>
      </w:r>
    </w:p>
    <w:p w14:paraId="4A52776D" w14:textId="77777777" w:rsidR="007967E3" w:rsidRPr="008B08E4" w:rsidRDefault="007967E3" w:rsidP="00581365">
      <w:pPr>
        <w:pStyle w:val="BBody1"/>
        <w:numPr>
          <w:ilvl w:val="0"/>
          <w:numId w:val="0"/>
        </w:numPr>
        <w:jc w:val="both"/>
        <w:rPr>
          <w:lang w:val="en-US"/>
        </w:rPr>
      </w:pPr>
      <w:r w:rsidRPr="008B08E4">
        <w:rPr>
          <w:lang w:val="en-US"/>
        </w:rPr>
        <w:t>This conclusion is based on:</w:t>
      </w:r>
    </w:p>
    <w:p w14:paraId="58BC6291" w14:textId="4B9F5A98" w:rsidR="007967E3" w:rsidRPr="008B08E4" w:rsidRDefault="007967E3" w:rsidP="00C6208E">
      <w:pPr>
        <w:pStyle w:val="BBody1"/>
        <w:numPr>
          <w:ilvl w:val="0"/>
          <w:numId w:val="58"/>
        </w:numPr>
        <w:jc w:val="both"/>
        <w:rPr>
          <w:lang w:val="en-US"/>
        </w:rPr>
      </w:pPr>
      <w:r w:rsidRPr="008B08E4">
        <w:rPr>
          <w:lang w:val="en-US"/>
        </w:rPr>
        <w:t xml:space="preserve">Objective information presented in the </w:t>
      </w:r>
      <w:r w:rsidR="00013B9A">
        <w:rPr>
          <w:lang w:val="en-US"/>
        </w:rPr>
        <w:t xml:space="preserve">Applicants </w:t>
      </w:r>
      <w:r w:rsidRPr="008B08E4">
        <w:rPr>
          <w:lang w:val="en-US"/>
        </w:rPr>
        <w:t>Screening Report</w:t>
      </w:r>
      <w:r w:rsidR="00356FCE">
        <w:rPr>
          <w:lang w:val="en-US"/>
        </w:rPr>
        <w:t xml:space="preserve"> and NIS</w:t>
      </w:r>
      <w:r w:rsidR="00013B9A">
        <w:rPr>
          <w:lang w:val="en-US"/>
        </w:rPr>
        <w:t>,</w:t>
      </w:r>
    </w:p>
    <w:p w14:paraId="4E1E49F0" w14:textId="3B634CC4" w:rsidR="007967E3" w:rsidRPr="008B08E4" w:rsidRDefault="007967E3" w:rsidP="00C6208E">
      <w:pPr>
        <w:pStyle w:val="BBody1"/>
        <w:numPr>
          <w:ilvl w:val="0"/>
          <w:numId w:val="58"/>
        </w:numPr>
        <w:jc w:val="both"/>
        <w:rPr>
          <w:lang w:val="en-US"/>
        </w:rPr>
      </w:pPr>
      <w:r w:rsidRPr="008B08E4">
        <w:rPr>
          <w:lang w:val="en-US"/>
        </w:rPr>
        <w:t>Standard pollution controls that would be employed regardless of proximity to a European site and effectiveness of same</w:t>
      </w:r>
      <w:r w:rsidR="00013B9A">
        <w:rPr>
          <w:lang w:val="en-US"/>
        </w:rPr>
        <w:t>,</w:t>
      </w:r>
    </w:p>
    <w:p w14:paraId="7B07604A" w14:textId="77777777" w:rsidR="007967E3" w:rsidRPr="008B08E4" w:rsidRDefault="007967E3" w:rsidP="00C6208E">
      <w:pPr>
        <w:pStyle w:val="BBody1"/>
        <w:numPr>
          <w:ilvl w:val="0"/>
          <w:numId w:val="58"/>
        </w:numPr>
        <w:jc w:val="both"/>
        <w:rPr>
          <w:lang w:val="en-US"/>
        </w:rPr>
      </w:pPr>
      <w:r w:rsidRPr="008B08E4">
        <w:rPr>
          <w:lang w:val="en-US"/>
        </w:rPr>
        <w:t xml:space="preserve">Distance from European Sites, </w:t>
      </w:r>
    </w:p>
    <w:p w14:paraId="6505EA7F" w14:textId="0B105ADB" w:rsidR="007967E3" w:rsidRPr="008B08E4" w:rsidRDefault="007967E3" w:rsidP="00C6208E">
      <w:pPr>
        <w:pStyle w:val="BBody1"/>
        <w:numPr>
          <w:ilvl w:val="0"/>
          <w:numId w:val="58"/>
        </w:numPr>
        <w:jc w:val="both"/>
        <w:rPr>
          <w:lang w:val="en-US"/>
        </w:rPr>
      </w:pPr>
      <w:r w:rsidRPr="008B08E4">
        <w:rPr>
          <w:lang w:val="en-US"/>
        </w:rPr>
        <w:t xml:space="preserve">The absence of meaningful pathway to any European </w:t>
      </w:r>
      <w:r w:rsidR="006F5FC5">
        <w:rPr>
          <w:lang w:val="en-US"/>
        </w:rPr>
        <w:t>S</w:t>
      </w:r>
      <w:r w:rsidRPr="008B08E4">
        <w:rPr>
          <w:lang w:val="en-US"/>
        </w:rPr>
        <w:t>ite</w:t>
      </w:r>
      <w:r w:rsidR="00E04789">
        <w:rPr>
          <w:lang w:val="en-US"/>
        </w:rPr>
        <w:t>,</w:t>
      </w:r>
    </w:p>
    <w:p w14:paraId="78262D62" w14:textId="5418D6E3" w:rsidR="007967E3" w:rsidRPr="008F5480" w:rsidRDefault="007967E3" w:rsidP="00C6208E">
      <w:pPr>
        <w:pStyle w:val="BBody1"/>
        <w:numPr>
          <w:ilvl w:val="0"/>
          <w:numId w:val="58"/>
        </w:numPr>
        <w:jc w:val="both"/>
        <w:rPr>
          <w:lang w:val="en-US"/>
        </w:rPr>
      </w:pPr>
      <w:r w:rsidRPr="008B08E4">
        <w:rPr>
          <w:lang w:val="en-US"/>
        </w:rPr>
        <w:t xml:space="preserve">Impacts predicted would not affect the conservation objectives. </w:t>
      </w:r>
    </w:p>
    <w:p w14:paraId="53E4713D" w14:textId="532AA6DB" w:rsidR="00C05EBC" w:rsidRPr="00C05EBC" w:rsidRDefault="007967E3" w:rsidP="0083322C">
      <w:pPr>
        <w:pStyle w:val="BBody1"/>
        <w:numPr>
          <w:ilvl w:val="0"/>
          <w:numId w:val="0"/>
        </w:numPr>
        <w:jc w:val="both"/>
        <w:rPr>
          <w:lang w:val="en-US"/>
        </w:rPr>
      </w:pPr>
      <w:r w:rsidRPr="008B08E4">
        <w:rPr>
          <w:lang w:val="en-US"/>
        </w:rPr>
        <w:t xml:space="preserve">No measures intended to avoid or reduce harmful effects on European sites were </w:t>
      </w:r>
      <w:proofErr w:type="gramStart"/>
      <w:r w:rsidRPr="008B08E4">
        <w:rPr>
          <w:lang w:val="en-US"/>
        </w:rPr>
        <w:t>taken into account</w:t>
      </w:r>
      <w:proofErr w:type="gramEnd"/>
      <w:r w:rsidRPr="008B08E4">
        <w:rPr>
          <w:lang w:val="en-US"/>
        </w:rPr>
        <w:t xml:space="preserve"> in reaching this conclusion.</w:t>
      </w:r>
    </w:p>
    <w:p w14:paraId="2755D205" w14:textId="7BA114FA" w:rsidR="0063161A" w:rsidRPr="0063161A" w:rsidRDefault="00552505" w:rsidP="0063161A">
      <w:pPr>
        <w:pStyle w:val="Heading2"/>
      </w:pPr>
      <w:r>
        <w:t>Appropriate Assessment (Stage 2)</w:t>
      </w:r>
    </w:p>
    <w:tbl>
      <w:tblPr>
        <w:tblStyle w:val="TableGrid"/>
        <w:tblW w:w="0" w:type="auto"/>
        <w:tblLook w:val="04A0" w:firstRow="1" w:lastRow="0" w:firstColumn="1" w:lastColumn="0" w:noHBand="0" w:noVBand="1"/>
      </w:tblPr>
      <w:tblGrid>
        <w:gridCol w:w="4390"/>
        <w:gridCol w:w="4626"/>
      </w:tblGrid>
      <w:tr w:rsidR="00A406A6" w:rsidRPr="00303C9E" w14:paraId="00DDAD03" w14:textId="77777777" w:rsidTr="00B8439B">
        <w:tc>
          <w:tcPr>
            <w:tcW w:w="9016" w:type="dxa"/>
            <w:gridSpan w:val="2"/>
            <w:shd w:val="clear" w:color="auto" w:fill="EDEDED" w:themeFill="accent3" w:themeFillTint="33"/>
          </w:tcPr>
          <w:p w14:paraId="7C12D793" w14:textId="77777777" w:rsidR="00A406A6" w:rsidRDefault="00A406A6" w:rsidP="00EF1470">
            <w:pPr>
              <w:jc w:val="both"/>
              <w:rPr>
                <w:rFonts w:ascii="Arial" w:hAnsi="Arial" w:cs="Arial"/>
                <w:b/>
                <w:bCs/>
                <w:lang w:val="en-US"/>
              </w:rPr>
            </w:pPr>
          </w:p>
          <w:p w14:paraId="45E9069A" w14:textId="42645B55" w:rsidR="007807E9" w:rsidRDefault="007807E9" w:rsidP="007807E9">
            <w:pPr>
              <w:jc w:val="both"/>
              <w:rPr>
                <w:rFonts w:ascii="Arial" w:hAnsi="Arial" w:cs="Arial"/>
                <w:b/>
                <w:bCs/>
                <w:lang w:val="en-US"/>
              </w:rPr>
            </w:pPr>
            <w:r w:rsidRPr="0074691C">
              <w:rPr>
                <w:rFonts w:ascii="Arial" w:hAnsi="Arial" w:cs="Arial"/>
                <w:b/>
                <w:bCs/>
                <w:lang w:val="en-US"/>
              </w:rPr>
              <w:t>Table 21.1:  Summary Matrix for European Sites</w:t>
            </w:r>
            <w:r w:rsidR="0074691C">
              <w:rPr>
                <w:rFonts w:ascii="Arial" w:hAnsi="Arial" w:cs="Arial"/>
                <w:b/>
                <w:bCs/>
                <w:lang w:val="en-US"/>
              </w:rPr>
              <w:t xml:space="preserve"> (Stage 2)</w:t>
            </w:r>
          </w:p>
          <w:p w14:paraId="78FC4485" w14:textId="31C3645B" w:rsidR="00A406A6" w:rsidRDefault="00A406A6" w:rsidP="00EF1470">
            <w:pPr>
              <w:jc w:val="both"/>
              <w:rPr>
                <w:rFonts w:ascii="Arial" w:hAnsi="Arial" w:cs="Arial"/>
                <w:b/>
                <w:bCs/>
                <w:lang w:val="en-US"/>
              </w:rPr>
            </w:pPr>
          </w:p>
        </w:tc>
      </w:tr>
      <w:tr w:rsidR="00FA00C0" w:rsidRPr="00303C9E" w14:paraId="64991EA8" w14:textId="77777777" w:rsidTr="00B8439B">
        <w:tc>
          <w:tcPr>
            <w:tcW w:w="9016" w:type="dxa"/>
            <w:gridSpan w:val="2"/>
            <w:shd w:val="clear" w:color="auto" w:fill="EDEDED" w:themeFill="accent3" w:themeFillTint="33"/>
          </w:tcPr>
          <w:p w14:paraId="62E30572" w14:textId="6D1AA1F0" w:rsidR="00FA00C0" w:rsidRPr="00303C9E" w:rsidRDefault="00646AD8" w:rsidP="00EF1470">
            <w:pPr>
              <w:jc w:val="both"/>
              <w:rPr>
                <w:rFonts w:ascii="Arial" w:hAnsi="Arial" w:cs="Arial"/>
                <w:b/>
                <w:bCs/>
                <w:lang w:val="en-US"/>
              </w:rPr>
            </w:pPr>
            <w:r>
              <w:rPr>
                <w:rFonts w:ascii="Arial" w:hAnsi="Arial" w:cs="Arial"/>
                <w:b/>
                <w:bCs/>
                <w:lang w:val="en-US"/>
              </w:rPr>
              <w:t xml:space="preserve">AA Summary Matrix for </w:t>
            </w:r>
            <w:r w:rsidRPr="00303C9E">
              <w:rPr>
                <w:rFonts w:ascii="Arial" w:hAnsi="Arial" w:cs="Arial"/>
                <w:b/>
                <w:bCs/>
              </w:rPr>
              <w:t>River Shannon and River Fergus Estuaries SPA (004077)</w:t>
            </w:r>
          </w:p>
          <w:p w14:paraId="3A54DC6D" w14:textId="77777777" w:rsidR="00FA00C0" w:rsidRPr="00303C9E" w:rsidRDefault="00FA00C0" w:rsidP="00EF1470">
            <w:pPr>
              <w:jc w:val="both"/>
              <w:rPr>
                <w:rFonts w:ascii="Arial" w:hAnsi="Arial" w:cs="Arial"/>
                <w:b/>
                <w:bCs/>
                <w:lang w:val="en-US"/>
              </w:rPr>
            </w:pPr>
          </w:p>
        </w:tc>
      </w:tr>
      <w:tr w:rsidR="00FA00C0" w:rsidRPr="00303C9E" w14:paraId="6CE692CE" w14:textId="77777777" w:rsidTr="00CD4384">
        <w:tc>
          <w:tcPr>
            <w:tcW w:w="9016" w:type="dxa"/>
            <w:gridSpan w:val="2"/>
            <w:shd w:val="clear" w:color="auto" w:fill="E2EFD9" w:themeFill="accent6" w:themeFillTint="33"/>
          </w:tcPr>
          <w:p w14:paraId="2E8DD8AC" w14:textId="77777777" w:rsidR="00FA00C0" w:rsidRPr="001E3527" w:rsidRDefault="00FA00C0" w:rsidP="00EF1470">
            <w:pPr>
              <w:pStyle w:val="NoSpacing"/>
              <w:rPr>
                <w:rFonts w:ascii="Arial" w:hAnsi="Arial" w:cs="Arial"/>
                <w:b/>
                <w:bCs/>
              </w:rPr>
            </w:pPr>
            <w:r w:rsidRPr="001E3527">
              <w:rPr>
                <w:rFonts w:ascii="Arial" w:hAnsi="Arial" w:cs="Arial"/>
                <w:b/>
                <w:bCs/>
              </w:rPr>
              <w:t>River Shannon and River Fergus Estuaries SPA (004077) – Located Directly Adjacent to Site</w:t>
            </w:r>
          </w:p>
          <w:p w14:paraId="0F6DE2E2" w14:textId="77777777" w:rsidR="00FC5B31" w:rsidRPr="001E3527" w:rsidRDefault="00FC5B31" w:rsidP="00EF1470">
            <w:pPr>
              <w:pStyle w:val="NoSpacing"/>
              <w:rPr>
                <w:rFonts w:ascii="Arial" w:hAnsi="Arial" w:cs="Arial"/>
                <w:b/>
                <w:bCs/>
              </w:rPr>
            </w:pPr>
          </w:p>
          <w:p w14:paraId="118DD3A2" w14:textId="035EEDC2" w:rsidR="004C5FFD" w:rsidRPr="001E3527" w:rsidRDefault="00D82327" w:rsidP="00D82327">
            <w:pPr>
              <w:pStyle w:val="NoSpacing"/>
              <w:jc w:val="both"/>
              <w:rPr>
                <w:rFonts w:ascii="Arial" w:hAnsi="Arial" w:cs="Arial"/>
              </w:rPr>
            </w:pPr>
            <w:r w:rsidRPr="001E3527">
              <w:rPr>
                <w:rFonts w:ascii="Arial" w:hAnsi="Arial" w:cs="Arial"/>
                <w:b/>
                <w:bCs/>
              </w:rPr>
              <w:t>Description of Site:</w:t>
            </w:r>
            <w:r w:rsidRPr="001E3527">
              <w:rPr>
                <w:rFonts w:ascii="Arial" w:hAnsi="Arial" w:cs="Arial"/>
              </w:rPr>
              <w:t xml:space="preserve">  </w:t>
            </w:r>
            <w:r w:rsidR="00C43109" w:rsidRPr="001E3527">
              <w:rPr>
                <w:rFonts w:ascii="Arial" w:hAnsi="Arial" w:cs="Arial"/>
              </w:rPr>
              <w:t xml:space="preserve">The estuaries of the River Shannon and River Fergus form the largest estuarine complex in Ireland. The site comprises the entire estuarine habitat from Limerick City westwards as far as </w:t>
            </w:r>
            <w:proofErr w:type="spellStart"/>
            <w:r w:rsidR="00C43109" w:rsidRPr="001E3527">
              <w:rPr>
                <w:rFonts w:ascii="Arial" w:hAnsi="Arial" w:cs="Arial"/>
              </w:rPr>
              <w:t>Doonaha</w:t>
            </w:r>
            <w:proofErr w:type="spellEnd"/>
            <w:r w:rsidR="00C43109" w:rsidRPr="001E3527">
              <w:rPr>
                <w:rFonts w:ascii="Arial" w:hAnsi="Arial" w:cs="Arial"/>
              </w:rPr>
              <w:t xml:space="preserve"> in Co. Clare and </w:t>
            </w:r>
            <w:proofErr w:type="spellStart"/>
            <w:r w:rsidR="00C43109" w:rsidRPr="001E3527">
              <w:rPr>
                <w:rFonts w:ascii="Arial" w:hAnsi="Arial" w:cs="Arial"/>
              </w:rPr>
              <w:t>Dooneen</w:t>
            </w:r>
            <w:proofErr w:type="spellEnd"/>
            <w:r w:rsidR="00C43109" w:rsidRPr="001E3527">
              <w:rPr>
                <w:rFonts w:ascii="Arial" w:hAnsi="Arial" w:cs="Arial"/>
              </w:rPr>
              <w:t xml:space="preserve"> Point in Co. Kerry. The site has vast expanses of intertidal flats which contain a diverse macro</w:t>
            </w:r>
            <w:r w:rsidR="004C5FFD" w:rsidRPr="001E3527">
              <w:rPr>
                <w:rFonts w:ascii="Arial" w:hAnsi="Arial" w:cs="Arial"/>
              </w:rPr>
              <w:t>-</w:t>
            </w:r>
            <w:r w:rsidR="00C43109" w:rsidRPr="001E3527">
              <w:rPr>
                <w:rFonts w:ascii="Arial" w:hAnsi="Arial" w:cs="Arial"/>
              </w:rPr>
              <w:t xml:space="preserve">invertebrate community, e.g. </w:t>
            </w:r>
            <w:proofErr w:type="spellStart"/>
            <w:r w:rsidR="00C43109" w:rsidRPr="001E3527">
              <w:rPr>
                <w:rFonts w:ascii="Arial" w:hAnsi="Arial" w:cs="Arial"/>
              </w:rPr>
              <w:t>Macoma</w:t>
            </w:r>
            <w:proofErr w:type="spellEnd"/>
            <w:r w:rsidR="00C43109" w:rsidRPr="001E3527">
              <w:rPr>
                <w:rFonts w:ascii="Arial" w:hAnsi="Arial" w:cs="Arial"/>
              </w:rPr>
              <w:t>-</w:t>
            </w:r>
            <w:proofErr w:type="spellStart"/>
            <w:r w:rsidR="00C43109" w:rsidRPr="001E3527">
              <w:rPr>
                <w:rFonts w:ascii="Arial" w:hAnsi="Arial" w:cs="Arial"/>
              </w:rPr>
              <w:t>Scrobicularia</w:t>
            </w:r>
            <w:proofErr w:type="spellEnd"/>
            <w:r w:rsidR="00C43109" w:rsidRPr="001E3527">
              <w:rPr>
                <w:rFonts w:ascii="Arial" w:hAnsi="Arial" w:cs="Arial"/>
              </w:rPr>
              <w:t xml:space="preserve">-Nereis, which provides a rich food resource for the wintering birds. Salt marsh vegetation frequently fringes the </w:t>
            </w:r>
            <w:proofErr w:type="gramStart"/>
            <w:r w:rsidR="00C43109" w:rsidRPr="001E3527">
              <w:rPr>
                <w:rFonts w:ascii="Arial" w:hAnsi="Arial" w:cs="Arial"/>
              </w:rPr>
              <w:t>mudflats</w:t>
            </w:r>
            <w:proofErr w:type="gramEnd"/>
            <w:r w:rsidR="00C43109" w:rsidRPr="001E3527">
              <w:rPr>
                <w:rFonts w:ascii="Arial" w:hAnsi="Arial" w:cs="Arial"/>
              </w:rPr>
              <w:t xml:space="preserve"> and this provides important high tide roost areas for the wintering birds. Elsewhere in the site the shoreline comprises stony or shingle beaches</w:t>
            </w:r>
            <w:r w:rsidR="004C5FFD" w:rsidRPr="001E3527">
              <w:rPr>
                <w:rFonts w:ascii="Arial" w:hAnsi="Arial" w:cs="Arial"/>
              </w:rPr>
              <w:t xml:space="preserve">.  </w:t>
            </w:r>
            <w:r w:rsidR="00FF671E" w:rsidRPr="001E3527">
              <w:rPr>
                <w:rFonts w:ascii="Arial" w:hAnsi="Arial" w:cs="Arial"/>
              </w:rPr>
              <w:t xml:space="preserve">The site is the most important coastal wetland site in the country and regularly supports </w:t>
            </w:r>
            <w:proofErr w:type="gramStart"/>
            <w:r w:rsidR="00FF671E" w:rsidRPr="001E3527">
              <w:rPr>
                <w:rFonts w:ascii="Arial" w:hAnsi="Arial" w:cs="Arial"/>
              </w:rPr>
              <w:t>in excess of</w:t>
            </w:r>
            <w:proofErr w:type="gramEnd"/>
            <w:r w:rsidR="00FF671E" w:rsidRPr="001E3527">
              <w:rPr>
                <w:rFonts w:ascii="Arial" w:hAnsi="Arial" w:cs="Arial"/>
              </w:rPr>
              <w:t xml:space="preserve"> 50,000 wintering waterfowl (57,133 - five year mean for the period 1995/96 to 1999/2000), a concentration easily of international importance.</w:t>
            </w:r>
          </w:p>
          <w:p w14:paraId="1D99094A" w14:textId="24A2B887" w:rsidR="00FA00C0" w:rsidRPr="001E3527" w:rsidRDefault="00FA00C0" w:rsidP="00D82327">
            <w:pPr>
              <w:pStyle w:val="NoSpacing"/>
              <w:jc w:val="both"/>
              <w:rPr>
                <w:rFonts w:ascii="Arial" w:hAnsi="Arial" w:cs="Arial"/>
              </w:rPr>
            </w:pPr>
            <w:r w:rsidRPr="001E3527">
              <w:rPr>
                <w:rFonts w:ascii="Arial" w:hAnsi="Arial" w:cs="Arial"/>
              </w:rPr>
              <w:t>The</w:t>
            </w:r>
            <w:r w:rsidR="004C5FFD" w:rsidRPr="001E3527">
              <w:rPr>
                <w:rFonts w:ascii="Arial" w:hAnsi="Arial" w:cs="Arial"/>
              </w:rPr>
              <w:t xml:space="preserve"> development site</w:t>
            </w:r>
            <w:r w:rsidRPr="001E3527">
              <w:rPr>
                <w:rFonts w:ascii="Arial" w:hAnsi="Arial" w:cs="Arial"/>
              </w:rPr>
              <w:t xml:space="preserve"> is surrounded by the SPA, and the northern and eastern boundaries of the Site are contiguous with River Shannon and River Fergus Estuaries SPA. The SPA is designated for 21 bird species, and wetland habitats which support these species.</w:t>
            </w:r>
          </w:p>
          <w:p w14:paraId="2BB7B7E0" w14:textId="77777777" w:rsidR="00B8439B" w:rsidRPr="00260D5A" w:rsidRDefault="00B8439B" w:rsidP="00D82327">
            <w:pPr>
              <w:pStyle w:val="NoSpacing"/>
              <w:jc w:val="both"/>
              <w:rPr>
                <w:rFonts w:ascii="Arial" w:hAnsi="Arial" w:cs="Arial"/>
                <w:b/>
                <w:bCs/>
              </w:rPr>
            </w:pPr>
          </w:p>
          <w:p w14:paraId="5BD1CD4D" w14:textId="2377658A" w:rsidR="00B8439B" w:rsidRPr="00260D5A" w:rsidRDefault="00B8439B" w:rsidP="00D82327">
            <w:pPr>
              <w:pStyle w:val="NoSpacing"/>
              <w:jc w:val="both"/>
              <w:rPr>
                <w:rFonts w:ascii="Arial" w:hAnsi="Arial" w:cs="Arial"/>
                <w:b/>
                <w:bCs/>
              </w:rPr>
            </w:pPr>
            <w:r w:rsidRPr="00260D5A">
              <w:rPr>
                <w:rFonts w:ascii="Arial" w:hAnsi="Arial" w:cs="Arial"/>
                <w:b/>
                <w:bCs/>
              </w:rPr>
              <w:t>Conservation Objectives</w:t>
            </w:r>
            <w:r w:rsidR="00FC5B31" w:rsidRPr="00260D5A">
              <w:rPr>
                <w:rFonts w:ascii="Arial" w:hAnsi="Arial" w:cs="Arial"/>
                <w:b/>
                <w:bCs/>
              </w:rPr>
              <w:t>:</w:t>
            </w:r>
          </w:p>
          <w:p w14:paraId="13061F2C" w14:textId="62FBF176" w:rsidR="00FA00C0" w:rsidRPr="00260D5A" w:rsidRDefault="00A06D2A" w:rsidP="00C6208E">
            <w:pPr>
              <w:pStyle w:val="NoSpacing"/>
              <w:numPr>
                <w:ilvl w:val="0"/>
                <w:numId w:val="62"/>
              </w:numPr>
              <w:jc w:val="both"/>
              <w:rPr>
                <w:rFonts w:ascii="Arial" w:hAnsi="Arial" w:cs="Arial"/>
              </w:rPr>
            </w:pPr>
            <w:r w:rsidRPr="00260D5A">
              <w:rPr>
                <w:rFonts w:ascii="Arial" w:hAnsi="Arial" w:cs="Arial"/>
              </w:rPr>
              <w:lastRenderedPageBreak/>
              <w:t>To maintain the favourable conservation condition of</w:t>
            </w:r>
            <w:r w:rsidR="006953C3" w:rsidRPr="00260D5A">
              <w:rPr>
                <w:rFonts w:ascii="Arial" w:hAnsi="Arial" w:cs="Arial"/>
              </w:rPr>
              <w:t xml:space="preserve"> </w:t>
            </w:r>
            <w:r w:rsidR="00971BDE" w:rsidRPr="00260D5A">
              <w:rPr>
                <w:rFonts w:ascii="Arial" w:hAnsi="Arial" w:cs="Arial"/>
              </w:rPr>
              <w:t>Cormorant</w:t>
            </w:r>
            <w:r w:rsidR="008634D1" w:rsidRPr="00260D5A">
              <w:rPr>
                <w:rFonts w:ascii="Arial" w:hAnsi="Arial" w:cs="Arial"/>
              </w:rPr>
              <w:t xml:space="preserve"> (A017)</w:t>
            </w:r>
            <w:r w:rsidR="00E34407" w:rsidRPr="00260D5A">
              <w:rPr>
                <w:rFonts w:ascii="Arial" w:hAnsi="Arial" w:cs="Arial"/>
              </w:rPr>
              <w:t>,</w:t>
            </w:r>
            <w:r w:rsidR="008634D1" w:rsidRPr="00260D5A">
              <w:rPr>
                <w:rFonts w:ascii="Arial" w:hAnsi="Arial" w:cs="Arial"/>
              </w:rPr>
              <w:t xml:space="preserve"> Whooper Swan (A038), Light-bellied Brent Goose (</w:t>
            </w:r>
            <w:r w:rsidR="00532F09" w:rsidRPr="00260D5A">
              <w:rPr>
                <w:rFonts w:ascii="Arial" w:hAnsi="Arial" w:cs="Arial"/>
              </w:rPr>
              <w:t>A046), Shelduck (A048), Wigeon (A050), Teal (A052), Pintail (A0</w:t>
            </w:r>
            <w:r w:rsidR="00142549" w:rsidRPr="00260D5A">
              <w:rPr>
                <w:rFonts w:ascii="Arial" w:hAnsi="Arial" w:cs="Arial"/>
              </w:rPr>
              <w:t xml:space="preserve">54), Shoveler (A056, Scaup (A062), Ringed Plover (A137), </w:t>
            </w:r>
            <w:r w:rsidR="002323C0" w:rsidRPr="00260D5A">
              <w:rPr>
                <w:rFonts w:ascii="Arial" w:hAnsi="Arial" w:cs="Arial"/>
              </w:rPr>
              <w:t>Golden Plover (A140), Grey Plo</w:t>
            </w:r>
            <w:r w:rsidR="00E66F99" w:rsidRPr="00260D5A">
              <w:rPr>
                <w:rFonts w:ascii="Arial" w:hAnsi="Arial" w:cs="Arial"/>
              </w:rPr>
              <w:t>v</w:t>
            </w:r>
            <w:r w:rsidR="002323C0" w:rsidRPr="00260D5A">
              <w:rPr>
                <w:rFonts w:ascii="Arial" w:hAnsi="Arial" w:cs="Arial"/>
              </w:rPr>
              <w:t xml:space="preserve">er Pluvialis (A141), Lapwing (A142), Knot (A143), </w:t>
            </w:r>
            <w:r w:rsidR="00E66F99" w:rsidRPr="00260D5A">
              <w:rPr>
                <w:rFonts w:ascii="Arial" w:hAnsi="Arial" w:cs="Arial"/>
              </w:rPr>
              <w:t>Du</w:t>
            </w:r>
            <w:r w:rsidR="00E84E5B" w:rsidRPr="00260D5A">
              <w:rPr>
                <w:rFonts w:ascii="Arial" w:hAnsi="Arial" w:cs="Arial"/>
              </w:rPr>
              <w:t>n</w:t>
            </w:r>
            <w:r w:rsidR="00E66F99" w:rsidRPr="00260D5A">
              <w:rPr>
                <w:rFonts w:ascii="Arial" w:hAnsi="Arial" w:cs="Arial"/>
              </w:rPr>
              <w:t>lin (A149)</w:t>
            </w:r>
            <w:r w:rsidR="00E84E5B" w:rsidRPr="00260D5A">
              <w:rPr>
                <w:rFonts w:ascii="Arial" w:hAnsi="Arial" w:cs="Arial"/>
              </w:rPr>
              <w:t>, Black-tailed Godwi</w:t>
            </w:r>
            <w:r w:rsidR="00847F45" w:rsidRPr="00260D5A">
              <w:rPr>
                <w:rFonts w:ascii="Arial" w:hAnsi="Arial" w:cs="Arial"/>
              </w:rPr>
              <w:t>t</w:t>
            </w:r>
            <w:r w:rsidR="00E84E5B" w:rsidRPr="00260D5A">
              <w:rPr>
                <w:rFonts w:ascii="Arial" w:hAnsi="Arial" w:cs="Arial"/>
              </w:rPr>
              <w:t xml:space="preserve"> (A156), Bar-tailed Godwit (A157), Curlew (A160), Redshank (A162)</w:t>
            </w:r>
            <w:r w:rsidR="0029073C" w:rsidRPr="00260D5A">
              <w:rPr>
                <w:rFonts w:ascii="Arial" w:hAnsi="Arial" w:cs="Arial"/>
              </w:rPr>
              <w:t>, Greenshank (A164), Black-headed Gull (A179), Wetland and Waterbirds (</w:t>
            </w:r>
            <w:r w:rsidR="00847F45" w:rsidRPr="00260D5A">
              <w:rPr>
                <w:rFonts w:ascii="Arial" w:hAnsi="Arial" w:cs="Arial"/>
              </w:rPr>
              <w:t>A999)</w:t>
            </w:r>
            <w:r w:rsidR="00D747B6">
              <w:rPr>
                <w:rFonts w:ascii="Arial" w:hAnsi="Arial" w:cs="Arial"/>
              </w:rPr>
              <w:t xml:space="preserve"> </w:t>
            </w:r>
            <w:r w:rsidR="00D747B6" w:rsidRPr="00D747B6">
              <w:rPr>
                <w:rFonts w:ascii="Arial" w:hAnsi="Arial" w:cs="Arial"/>
                <w:b/>
                <w:bCs/>
                <w:lang w:val="en-US"/>
              </w:rPr>
              <w:t>(</w:t>
            </w:r>
            <w:r w:rsidR="00D747B6">
              <w:rPr>
                <w:rFonts w:ascii="Arial" w:hAnsi="Arial" w:cs="Arial"/>
                <w:b/>
                <w:bCs/>
                <w:lang w:val="en-US"/>
              </w:rPr>
              <w:t>M</w:t>
            </w:r>
            <w:r w:rsidR="00D747B6" w:rsidRPr="00D747B6">
              <w:rPr>
                <w:rFonts w:ascii="Arial" w:hAnsi="Arial" w:cs="Arial"/>
                <w:b/>
                <w:bCs/>
                <w:lang w:val="en-US"/>
              </w:rPr>
              <w:t>)</w:t>
            </w:r>
          </w:p>
        </w:tc>
      </w:tr>
      <w:tr w:rsidR="00B8439B" w:rsidRPr="00303C9E" w14:paraId="7766FD18" w14:textId="77777777" w:rsidTr="00CD4384">
        <w:tc>
          <w:tcPr>
            <w:tcW w:w="9016" w:type="dxa"/>
            <w:gridSpan w:val="2"/>
            <w:shd w:val="clear" w:color="auto" w:fill="D9D9D9" w:themeFill="background1" w:themeFillShade="D9"/>
          </w:tcPr>
          <w:p w14:paraId="3373AAAA" w14:textId="7C122BC4" w:rsidR="00B8439B" w:rsidRPr="00260D5A" w:rsidRDefault="00B8439B" w:rsidP="00FC5B31">
            <w:pPr>
              <w:jc w:val="center"/>
              <w:rPr>
                <w:rFonts w:ascii="Arial" w:hAnsi="Arial" w:cs="Arial"/>
                <w:b/>
                <w:bCs/>
                <w:lang w:val="en-US"/>
              </w:rPr>
            </w:pPr>
            <w:r w:rsidRPr="00260D5A">
              <w:rPr>
                <w:rFonts w:ascii="Arial" w:hAnsi="Arial" w:cs="Arial"/>
                <w:b/>
                <w:bCs/>
                <w:lang w:val="en-US"/>
              </w:rPr>
              <w:lastRenderedPageBreak/>
              <w:t>Summary of Appropriate Assessment</w:t>
            </w:r>
          </w:p>
        </w:tc>
      </w:tr>
      <w:tr w:rsidR="00DE3833" w:rsidRPr="00303C9E" w14:paraId="6610E26F" w14:textId="77777777" w:rsidTr="005A5574">
        <w:tc>
          <w:tcPr>
            <w:tcW w:w="4390" w:type="dxa"/>
            <w:shd w:val="clear" w:color="auto" w:fill="D9D9D9" w:themeFill="background1" w:themeFillShade="D9"/>
          </w:tcPr>
          <w:p w14:paraId="2490F9A3" w14:textId="77777777" w:rsidR="00DE3833" w:rsidRPr="00260D5A" w:rsidRDefault="00DE3833" w:rsidP="00EF1470">
            <w:pPr>
              <w:jc w:val="both"/>
              <w:rPr>
                <w:rFonts w:ascii="Arial" w:hAnsi="Arial" w:cs="Arial"/>
                <w:b/>
                <w:bCs/>
              </w:rPr>
            </w:pPr>
            <w:r w:rsidRPr="00260D5A">
              <w:rPr>
                <w:rFonts w:ascii="Arial" w:hAnsi="Arial" w:cs="Arial"/>
                <w:b/>
                <w:bCs/>
              </w:rPr>
              <w:t xml:space="preserve">Qualifying Interest Feature </w:t>
            </w:r>
          </w:p>
          <w:p w14:paraId="649ACF09" w14:textId="55A124EF" w:rsidR="00DE3833" w:rsidRPr="00260D5A" w:rsidRDefault="00DE3833" w:rsidP="00EF1470">
            <w:pPr>
              <w:jc w:val="both"/>
              <w:rPr>
                <w:rFonts w:ascii="Arial" w:hAnsi="Arial" w:cs="Arial"/>
                <w:b/>
                <w:bCs/>
                <w:lang w:val="en-US"/>
              </w:rPr>
            </w:pPr>
          </w:p>
        </w:tc>
        <w:tc>
          <w:tcPr>
            <w:tcW w:w="4626" w:type="dxa"/>
            <w:shd w:val="clear" w:color="auto" w:fill="D9D9D9" w:themeFill="background1" w:themeFillShade="D9"/>
          </w:tcPr>
          <w:p w14:paraId="48865FAA" w14:textId="5FA20910" w:rsidR="00DE3833" w:rsidRPr="00303C9E" w:rsidRDefault="00DE3833" w:rsidP="00EF1470">
            <w:pPr>
              <w:jc w:val="both"/>
              <w:rPr>
                <w:rFonts w:ascii="Arial" w:hAnsi="Arial" w:cs="Arial"/>
                <w:b/>
                <w:bCs/>
                <w:lang w:val="en-US"/>
              </w:rPr>
            </w:pPr>
            <w:r w:rsidRPr="00260D5A">
              <w:rPr>
                <w:rFonts w:ascii="Arial" w:hAnsi="Arial" w:cs="Arial"/>
                <w:b/>
                <w:bCs/>
              </w:rPr>
              <w:t>Conservation Objectives, Attributes &amp; Targets (Summary)</w:t>
            </w:r>
          </w:p>
        </w:tc>
      </w:tr>
      <w:tr w:rsidR="00DE3833" w:rsidRPr="00303C9E" w14:paraId="02A048A3" w14:textId="77777777" w:rsidTr="005A5574">
        <w:tc>
          <w:tcPr>
            <w:tcW w:w="4390" w:type="dxa"/>
          </w:tcPr>
          <w:p w14:paraId="7DB86976" w14:textId="77777777" w:rsidR="00DE3833" w:rsidRPr="00FB4BF0" w:rsidRDefault="00DE3833" w:rsidP="00DE3833">
            <w:pPr>
              <w:pStyle w:val="NoSpacing"/>
              <w:jc w:val="both"/>
              <w:rPr>
                <w:rFonts w:ascii="Arial" w:hAnsi="Arial" w:cs="Arial"/>
              </w:rPr>
            </w:pPr>
            <w:r w:rsidRPr="00FB4BF0">
              <w:rPr>
                <w:rFonts w:ascii="Arial" w:hAnsi="Arial" w:cs="Arial"/>
              </w:rPr>
              <w:t xml:space="preserve">Cormorant </w:t>
            </w:r>
            <w:r w:rsidRPr="00FB4BF0">
              <w:rPr>
                <w:rFonts w:ascii="Arial" w:hAnsi="Arial" w:cs="Arial"/>
                <w:i/>
                <w:iCs/>
              </w:rPr>
              <w:t xml:space="preserve">Phalacrocorax carbo </w:t>
            </w:r>
            <w:r w:rsidRPr="00FB4BF0">
              <w:rPr>
                <w:rFonts w:ascii="Arial" w:hAnsi="Arial" w:cs="Arial"/>
              </w:rPr>
              <w:t xml:space="preserve">(A017) </w:t>
            </w:r>
            <w:r w:rsidRPr="00FB4BF0">
              <w:rPr>
                <w:rFonts w:ascii="Arial" w:hAnsi="Arial" w:cs="Arial"/>
                <w:b/>
              </w:rPr>
              <w:t>M</w:t>
            </w:r>
            <w:r w:rsidRPr="00FB4BF0">
              <w:rPr>
                <w:rFonts w:ascii="Arial" w:hAnsi="Arial" w:cs="Arial"/>
              </w:rPr>
              <w:t xml:space="preserve"> </w:t>
            </w:r>
          </w:p>
          <w:p w14:paraId="26B2C8E8" w14:textId="77777777" w:rsidR="00DE3833" w:rsidRPr="00FB4BF0" w:rsidRDefault="00DE3833" w:rsidP="00DE3833">
            <w:pPr>
              <w:pStyle w:val="NoSpacing"/>
              <w:jc w:val="both"/>
              <w:rPr>
                <w:rFonts w:ascii="Arial" w:hAnsi="Arial" w:cs="Arial"/>
              </w:rPr>
            </w:pPr>
            <w:r w:rsidRPr="00FB4BF0">
              <w:rPr>
                <w:rFonts w:ascii="Arial" w:hAnsi="Arial" w:cs="Arial"/>
              </w:rPr>
              <w:t xml:space="preserve">Whopper Swan </w:t>
            </w:r>
            <w:r w:rsidRPr="00FB4BF0">
              <w:rPr>
                <w:rFonts w:ascii="Arial" w:hAnsi="Arial" w:cs="Arial"/>
                <w:i/>
                <w:iCs/>
              </w:rPr>
              <w:t xml:space="preserve">Cygnus </w:t>
            </w:r>
            <w:proofErr w:type="spellStart"/>
            <w:r w:rsidRPr="00FB4BF0">
              <w:rPr>
                <w:rFonts w:ascii="Arial" w:hAnsi="Arial" w:cs="Arial"/>
                <w:i/>
                <w:iCs/>
              </w:rPr>
              <w:t>cygnus</w:t>
            </w:r>
            <w:proofErr w:type="spellEnd"/>
            <w:r w:rsidRPr="00FB4BF0">
              <w:rPr>
                <w:rFonts w:ascii="Arial" w:hAnsi="Arial" w:cs="Arial"/>
              </w:rPr>
              <w:t xml:space="preserve"> (A038) </w:t>
            </w:r>
            <w:r w:rsidRPr="00FB4BF0">
              <w:rPr>
                <w:rFonts w:ascii="Arial" w:hAnsi="Arial" w:cs="Arial"/>
                <w:b/>
              </w:rPr>
              <w:t>M</w:t>
            </w:r>
            <w:r w:rsidRPr="00FB4BF0">
              <w:rPr>
                <w:rFonts w:ascii="Arial" w:hAnsi="Arial" w:cs="Arial"/>
              </w:rPr>
              <w:t xml:space="preserve"> </w:t>
            </w:r>
          </w:p>
          <w:p w14:paraId="33D23BA2" w14:textId="77777777" w:rsidR="00DE3833" w:rsidRPr="00FB4BF0" w:rsidRDefault="00DE3833" w:rsidP="00DE3833">
            <w:pPr>
              <w:pStyle w:val="NoSpacing"/>
              <w:jc w:val="both"/>
              <w:rPr>
                <w:rFonts w:ascii="Arial" w:hAnsi="Arial" w:cs="Arial"/>
                <w:b/>
              </w:rPr>
            </w:pPr>
            <w:r w:rsidRPr="00FB4BF0">
              <w:rPr>
                <w:rFonts w:ascii="Arial" w:hAnsi="Arial" w:cs="Arial"/>
              </w:rPr>
              <w:t xml:space="preserve">Light-bellied Brent Goose </w:t>
            </w:r>
            <w:r w:rsidRPr="00FB4BF0">
              <w:rPr>
                <w:rFonts w:ascii="Arial" w:hAnsi="Arial" w:cs="Arial"/>
                <w:i/>
                <w:iCs/>
              </w:rPr>
              <w:t xml:space="preserve">Branta </w:t>
            </w:r>
            <w:proofErr w:type="spellStart"/>
            <w:r w:rsidRPr="00FB4BF0">
              <w:rPr>
                <w:rFonts w:ascii="Arial" w:hAnsi="Arial" w:cs="Arial"/>
                <w:i/>
                <w:iCs/>
              </w:rPr>
              <w:t>bernicla</w:t>
            </w:r>
            <w:proofErr w:type="spellEnd"/>
            <w:r w:rsidRPr="00FB4BF0">
              <w:rPr>
                <w:rFonts w:ascii="Arial" w:hAnsi="Arial" w:cs="Arial"/>
                <w:i/>
                <w:iCs/>
              </w:rPr>
              <w:t xml:space="preserve"> </w:t>
            </w:r>
            <w:proofErr w:type="spellStart"/>
            <w:r w:rsidRPr="00FB4BF0">
              <w:rPr>
                <w:rFonts w:ascii="Arial" w:hAnsi="Arial" w:cs="Arial"/>
                <w:i/>
                <w:iCs/>
              </w:rPr>
              <w:t>hrota</w:t>
            </w:r>
            <w:proofErr w:type="spellEnd"/>
            <w:r w:rsidRPr="00FB4BF0">
              <w:rPr>
                <w:rFonts w:ascii="Arial" w:hAnsi="Arial" w:cs="Arial"/>
              </w:rPr>
              <w:t xml:space="preserve"> (A046) </w:t>
            </w:r>
            <w:r w:rsidRPr="00FB4BF0">
              <w:rPr>
                <w:rFonts w:ascii="Arial" w:hAnsi="Arial" w:cs="Arial"/>
                <w:b/>
              </w:rPr>
              <w:t>M</w:t>
            </w:r>
          </w:p>
          <w:p w14:paraId="2346770B" w14:textId="77777777" w:rsidR="00DE3833" w:rsidRPr="00FB4BF0" w:rsidRDefault="00DE3833" w:rsidP="00DE3833">
            <w:pPr>
              <w:pStyle w:val="NoSpacing"/>
              <w:jc w:val="both"/>
              <w:rPr>
                <w:rFonts w:ascii="Arial" w:hAnsi="Arial" w:cs="Arial"/>
              </w:rPr>
            </w:pPr>
            <w:r w:rsidRPr="00FB4BF0">
              <w:rPr>
                <w:rFonts w:ascii="Arial" w:hAnsi="Arial" w:cs="Arial"/>
              </w:rPr>
              <w:t xml:space="preserve">Shelduck </w:t>
            </w:r>
            <w:r w:rsidRPr="00FB4BF0">
              <w:rPr>
                <w:rFonts w:ascii="Arial" w:hAnsi="Arial" w:cs="Arial"/>
                <w:i/>
                <w:iCs/>
              </w:rPr>
              <w:t xml:space="preserve">Tadorna </w:t>
            </w:r>
            <w:proofErr w:type="spellStart"/>
            <w:r w:rsidRPr="00FB4BF0">
              <w:rPr>
                <w:rFonts w:ascii="Arial" w:hAnsi="Arial" w:cs="Arial"/>
                <w:i/>
                <w:iCs/>
              </w:rPr>
              <w:t>Tadorna</w:t>
            </w:r>
            <w:proofErr w:type="spellEnd"/>
            <w:r w:rsidRPr="00FB4BF0">
              <w:rPr>
                <w:rFonts w:ascii="Arial" w:hAnsi="Arial" w:cs="Arial"/>
                <w:i/>
                <w:iCs/>
              </w:rPr>
              <w:t xml:space="preserve"> </w:t>
            </w:r>
            <w:r w:rsidRPr="00FB4BF0">
              <w:rPr>
                <w:rFonts w:ascii="Arial" w:hAnsi="Arial" w:cs="Arial"/>
              </w:rPr>
              <w:t>(A048)</w:t>
            </w:r>
            <w:r w:rsidRPr="00FB4BF0">
              <w:rPr>
                <w:rFonts w:ascii="Arial" w:hAnsi="Arial" w:cs="Arial"/>
                <w:b/>
              </w:rPr>
              <w:t xml:space="preserve"> M</w:t>
            </w:r>
            <w:r w:rsidRPr="00FB4BF0">
              <w:rPr>
                <w:rFonts w:ascii="Arial" w:hAnsi="Arial" w:cs="Arial"/>
              </w:rPr>
              <w:t xml:space="preserve"> </w:t>
            </w:r>
          </w:p>
          <w:p w14:paraId="61519585" w14:textId="77777777" w:rsidR="00DE3833" w:rsidRPr="00FB4BF0" w:rsidRDefault="00DE3833" w:rsidP="00DE3833">
            <w:pPr>
              <w:pStyle w:val="NoSpacing"/>
              <w:jc w:val="both"/>
              <w:rPr>
                <w:rFonts w:ascii="Arial" w:hAnsi="Arial" w:cs="Arial"/>
              </w:rPr>
            </w:pPr>
            <w:r w:rsidRPr="00FB4BF0">
              <w:rPr>
                <w:rFonts w:ascii="Arial" w:hAnsi="Arial" w:cs="Arial"/>
              </w:rPr>
              <w:t xml:space="preserve">Wigeon </w:t>
            </w:r>
            <w:r w:rsidRPr="00FB4BF0">
              <w:rPr>
                <w:rFonts w:ascii="Arial" w:hAnsi="Arial" w:cs="Arial"/>
                <w:i/>
                <w:iCs/>
              </w:rPr>
              <w:t xml:space="preserve">Anas Penelope </w:t>
            </w:r>
            <w:r w:rsidRPr="00FB4BF0">
              <w:rPr>
                <w:rFonts w:ascii="Arial" w:hAnsi="Arial" w:cs="Arial"/>
              </w:rPr>
              <w:t xml:space="preserve">(A050) </w:t>
            </w:r>
            <w:r w:rsidRPr="00FB4BF0">
              <w:rPr>
                <w:rFonts w:ascii="Arial" w:hAnsi="Arial" w:cs="Arial"/>
                <w:b/>
              </w:rPr>
              <w:t>M</w:t>
            </w:r>
            <w:r w:rsidRPr="00FB4BF0">
              <w:rPr>
                <w:rFonts w:ascii="Arial" w:hAnsi="Arial" w:cs="Arial"/>
              </w:rPr>
              <w:t xml:space="preserve"> </w:t>
            </w:r>
          </w:p>
          <w:p w14:paraId="11E1F5D2" w14:textId="77777777" w:rsidR="00DE3833" w:rsidRPr="00FB4BF0" w:rsidRDefault="00DE3833" w:rsidP="00DE3833">
            <w:pPr>
              <w:pStyle w:val="NoSpacing"/>
              <w:jc w:val="both"/>
              <w:rPr>
                <w:rFonts w:ascii="Arial" w:hAnsi="Arial" w:cs="Arial"/>
              </w:rPr>
            </w:pPr>
            <w:r w:rsidRPr="00FB4BF0">
              <w:rPr>
                <w:rFonts w:ascii="Arial" w:hAnsi="Arial" w:cs="Arial"/>
              </w:rPr>
              <w:t xml:space="preserve">Teal </w:t>
            </w:r>
            <w:r w:rsidRPr="00FB4BF0">
              <w:rPr>
                <w:rFonts w:ascii="Arial" w:hAnsi="Arial" w:cs="Arial"/>
                <w:i/>
                <w:iCs/>
              </w:rPr>
              <w:t xml:space="preserve">Anas crecca </w:t>
            </w:r>
            <w:r w:rsidRPr="00FB4BF0">
              <w:rPr>
                <w:rFonts w:ascii="Arial" w:hAnsi="Arial" w:cs="Arial"/>
              </w:rPr>
              <w:t xml:space="preserve">(A052) </w:t>
            </w:r>
            <w:r w:rsidRPr="00FB4BF0">
              <w:rPr>
                <w:rFonts w:ascii="Arial" w:hAnsi="Arial" w:cs="Arial"/>
                <w:b/>
              </w:rPr>
              <w:t>M</w:t>
            </w:r>
            <w:r w:rsidRPr="00FB4BF0">
              <w:rPr>
                <w:rFonts w:ascii="Arial" w:hAnsi="Arial" w:cs="Arial"/>
              </w:rPr>
              <w:t xml:space="preserve"> </w:t>
            </w:r>
          </w:p>
          <w:p w14:paraId="24A03F59" w14:textId="77777777" w:rsidR="00DE3833" w:rsidRPr="00FB4BF0" w:rsidRDefault="00DE3833" w:rsidP="00DE3833">
            <w:pPr>
              <w:pStyle w:val="NoSpacing"/>
              <w:jc w:val="both"/>
              <w:rPr>
                <w:rFonts w:ascii="Arial" w:hAnsi="Arial" w:cs="Arial"/>
              </w:rPr>
            </w:pPr>
            <w:r w:rsidRPr="00FB4BF0">
              <w:rPr>
                <w:rFonts w:ascii="Arial" w:hAnsi="Arial" w:cs="Arial"/>
              </w:rPr>
              <w:t xml:space="preserve">Pintail </w:t>
            </w:r>
            <w:r w:rsidRPr="00FB4BF0">
              <w:rPr>
                <w:rFonts w:ascii="Arial" w:hAnsi="Arial" w:cs="Arial"/>
                <w:i/>
                <w:iCs/>
              </w:rPr>
              <w:t xml:space="preserve">Anas acuta </w:t>
            </w:r>
            <w:r w:rsidRPr="00FB4BF0">
              <w:rPr>
                <w:rFonts w:ascii="Arial" w:hAnsi="Arial" w:cs="Arial"/>
              </w:rPr>
              <w:t xml:space="preserve">(A054) </w:t>
            </w:r>
            <w:r w:rsidRPr="00FB4BF0">
              <w:rPr>
                <w:rFonts w:ascii="Arial" w:hAnsi="Arial" w:cs="Arial"/>
                <w:b/>
              </w:rPr>
              <w:t>M</w:t>
            </w:r>
            <w:r w:rsidRPr="00FB4BF0">
              <w:rPr>
                <w:rFonts w:ascii="Arial" w:hAnsi="Arial" w:cs="Arial"/>
              </w:rPr>
              <w:t xml:space="preserve"> </w:t>
            </w:r>
          </w:p>
          <w:p w14:paraId="32AB0CCE" w14:textId="77777777" w:rsidR="00DE3833" w:rsidRPr="00FB4BF0" w:rsidRDefault="00DE3833" w:rsidP="00DE3833">
            <w:pPr>
              <w:pStyle w:val="NoSpacing"/>
              <w:jc w:val="both"/>
              <w:rPr>
                <w:rFonts w:ascii="Arial" w:hAnsi="Arial" w:cs="Arial"/>
              </w:rPr>
            </w:pPr>
            <w:r w:rsidRPr="00FB4BF0">
              <w:rPr>
                <w:rFonts w:ascii="Arial" w:hAnsi="Arial" w:cs="Arial"/>
              </w:rPr>
              <w:t xml:space="preserve">Shoveler </w:t>
            </w:r>
            <w:r w:rsidRPr="00FB4BF0">
              <w:rPr>
                <w:rFonts w:ascii="Arial" w:hAnsi="Arial" w:cs="Arial"/>
                <w:i/>
                <w:iCs/>
              </w:rPr>
              <w:t xml:space="preserve">Anas </w:t>
            </w:r>
            <w:proofErr w:type="spellStart"/>
            <w:r w:rsidRPr="00FB4BF0">
              <w:rPr>
                <w:rFonts w:ascii="Arial" w:hAnsi="Arial" w:cs="Arial"/>
                <w:i/>
                <w:iCs/>
              </w:rPr>
              <w:t>clypeata</w:t>
            </w:r>
            <w:proofErr w:type="spellEnd"/>
            <w:r w:rsidRPr="00FB4BF0">
              <w:rPr>
                <w:rFonts w:ascii="Arial" w:hAnsi="Arial" w:cs="Arial"/>
              </w:rPr>
              <w:t xml:space="preserve"> (A056) </w:t>
            </w:r>
            <w:r w:rsidRPr="00FB4BF0">
              <w:rPr>
                <w:rFonts w:ascii="Arial" w:hAnsi="Arial" w:cs="Arial"/>
                <w:b/>
              </w:rPr>
              <w:t>M</w:t>
            </w:r>
            <w:r w:rsidRPr="00FB4BF0">
              <w:rPr>
                <w:rFonts w:ascii="Arial" w:hAnsi="Arial" w:cs="Arial"/>
              </w:rPr>
              <w:t xml:space="preserve"> </w:t>
            </w:r>
          </w:p>
          <w:p w14:paraId="6716FBA6" w14:textId="77777777" w:rsidR="00DE3833" w:rsidRPr="00FB4BF0" w:rsidRDefault="00DE3833" w:rsidP="00DE3833">
            <w:pPr>
              <w:pStyle w:val="NoSpacing"/>
              <w:jc w:val="both"/>
              <w:rPr>
                <w:rFonts w:ascii="Arial" w:hAnsi="Arial" w:cs="Arial"/>
              </w:rPr>
            </w:pPr>
            <w:r w:rsidRPr="00FB4BF0">
              <w:rPr>
                <w:rFonts w:ascii="Arial" w:hAnsi="Arial" w:cs="Arial"/>
              </w:rPr>
              <w:t xml:space="preserve">Scaup </w:t>
            </w:r>
            <w:r w:rsidRPr="00FB4BF0">
              <w:rPr>
                <w:rFonts w:ascii="Arial" w:hAnsi="Arial" w:cs="Arial"/>
                <w:i/>
                <w:iCs/>
              </w:rPr>
              <w:t xml:space="preserve">Aythya </w:t>
            </w:r>
            <w:proofErr w:type="spellStart"/>
            <w:r w:rsidRPr="00FB4BF0">
              <w:rPr>
                <w:rFonts w:ascii="Arial" w:hAnsi="Arial" w:cs="Arial"/>
                <w:i/>
                <w:iCs/>
              </w:rPr>
              <w:t>marila</w:t>
            </w:r>
            <w:proofErr w:type="spellEnd"/>
            <w:r w:rsidRPr="00FB4BF0">
              <w:rPr>
                <w:rFonts w:ascii="Arial" w:hAnsi="Arial" w:cs="Arial"/>
              </w:rPr>
              <w:t xml:space="preserve"> (A062) </w:t>
            </w:r>
            <w:r w:rsidRPr="00FB4BF0">
              <w:rPr>
                <w:rFonts w:ascii="Arial" w:hAnsi="Arial" w:cs="Arial"/>
                <w:b/>
              </w:rPr>
              <w:t>M</w:t>
            </w:r>
            <w:r w:rsidRPr="00FB4BF0">
              <w:rPr>
                <w:rFonts w:ascii="Arial" w:hAnsi="Arial" w:cs="Arial"/>
              </w:rPr>
              <w:t xml:space="preserve"> </w:t>
            </w:r>
          </w:p>
          <w:p w14:paraId="77C0EDB6" w14:textId="77777777" w:rsidR="00DE3833" w:rsidRPr="00FB4BF0" w:rsidRDefault="00DE3833" w:rsidP="00DE3833">
            <w:pPr>
              <w:pStyle w:val="NoSpacing"/>
              <w:jc w:val="both"/>
              <w:rPr>
                <w:rFonts w:ascii="Arial" w:hAnsi="Arial" w:cs="Arial"/>
              </w:rPr>
            </w:pPr>
            <w:r w:rsidRPr="00FB4BF0">
              <w:rPr>
                <w:rFonts w:ascii="Arial" w:hAnsi="Arial" w:cs="Arial"/>
              </w:rPr>
              <w:t xml:space="preserve">Ringed Plover </w:t>
            </w:r>
            <w:r w:rsidRPr="00FB4BF0">
              <w:rPr>
                <w:rFonts w:ascii="Arial" w:hAnsi="Arial" w:cs="Arial"/>
                <w:i/>
                <w:iCs/>
              </w:rPr>
              <w:t xml:space="preserve">Charadrius </w:t>
            </w:r>
            <w:proofErr w:type="spellStart"/>
            <w:r w:rsidRPr="00FB4BF0">
              <w:rPr>
                <w:rFonts w:ascii="Arial" w:hAnsi="Arial" w:cs="Arial"/>
                <w:i/>
                <w:iCs/>
              </w:rPr>
              <w:t>hiaticula</w:t>
            </w:r>
            <w:proofErr w:type="spellEnd"/>
            <w:r w:rsidRPr="00FB4BF0">
              <w:rPr>
                <w:rFonts w:ascii="Arial" w:hAnsi="Arial" w:cs="Arial"/>
              </w:rPr>
              <w:t xml:space="preserve"> (A137) </w:t>
            </w:r>
            <w:r w:rsidRPr="00FB4BF0">
              <w:rPr>
                <w:rFonts w:ascii="Arial" w:hAnsi="Arial" w:cs="Arial"/>
                <w:b/>
              </w:rPr>
              <w:t>M</w:t>
            </w:r>
            <w:r w:rsidRPr="00FB4BF0">
              <w:rPr>
                <w:rFonts w:ascii="Arial" w:hAnsi="Arial" w:cs="Arial"/>
              </w:rPr>
              <w:t xml:space="preserve"> </w:t>
            </w:r>
          </w:p>
          <w:p w14:paraId="3F6C5A3A" w14:textId="77777777" w:rsidR="00DE3833" w:rsidRPr="00FB4BF0" w:rsidRDefault="00DE3833" w:rsidP="00DE3833">
            <w:pPr>
              <w:pStyle w:val="NoSpacing"/>
              <w:jc w:val="both"/>
              <w:rPr>
                <w:rFonts w:ascii="Arial" w:hAnsi="Arial" w:cs="Arial"/>
              </w:rPr>
            </w:pPr>
            <w:r w:rsidRPr="00FB4BF0">
              <w:rPr>
                <w:rFonts w:ascii="Arial" w:hAnsi="Arial" w:cs="Arial"/>
              </w:rPr>
              <w:t xml:space="preserve">Golden Plover </w:t>
            </w:r>
            <w:r w:rsidRPr="00FB4BF0">
              <w:rPr>
                <w:rFonts w:ascii="Arial" w:hAnsi="Arial" w:cs="Arial"/>
                <w:i/>
                <w:iCs/>
              </w:rPr>
              <w:t xml:space="preserve">Pluvialis apricaria </w:t>
            </w:r>
            <w:r w:rsidRPr="00FB4BF0">
              <w:rPr>
                <w:rFonts w:ascii="Arial" w:hAnsi="Arial" w:cs="Arial"/>
              </w:rPr>
              <w:t xml:space="preserve">(A140) </w:t>
            </w:r>
            <w:r w:rsidRPr="00FB4BF0">
              <w:rPr>
                <w:rFonts w:ascii="Arial" w:hAnsi="Arial" w:cs="Arial"/>
                <w:b/>
              </w:rPr>
              <w:t>M</w:t>
            </w:r>
            <w:r w:rsidRPr="00FB4BF0">
              <w:rPr>
                <w:rFonts w:ascii="Arial" w:hAnsi="Arial" w:cs="Arial"/>
              </w:rPr>
              <w:t xml:space="preserve"> </w:t>
            </w:r>
          </w:p>
          <w:p w14:paraId="3ACE2755" w14:textId="77777777" w:rsidR="00DE3833" w:rsidRPr="007A1066" w:rsidRDefault="00DE3833" w:rsidP="00DE3833">
            <w:pPr>
              <w:pStyle w:val="NoSpacing"/>
              <w:jc w:val="both"/>
              <w:rPr>
                <w:rFonts w:ascii="Arial" w:hAnsi="Arial" w:cs="Arial"/>
                <w:lang w:val="it-IT"/>
              </w:rPr>
            </w:pPr>
            <w:r w:rsidRPr="007A1066">
              <w:rPr>
                <w:rFonts w:ascii="Arial" w:hAnsi="Arial" w:cs="Arial"/>
                <w:lang w:val="it-IT"/>
              </w:rPr>
              <w:t>Grey Plover Pluvialis squatarola (A141)</w:t>
            </w:r>
            <w:r w:rsidRPr="007A1066">
              <w:rPr>
                <w:rFonts w:ascii="Arial" w:hAnsi="Arial" w:cs="Arial"/>
                <w:b/>
                <w:lang w:val="it-IT"/>
              </w:rPr>
              <w:t xml:space="preserve"> M</w:t>
            </w:r>
            <w:r w:rsidRPr="007A1066">
              <w:rPr>
                <w:rFonts w:ascii="Arial" w:hAnsi="Arial" w:cs="Arial"/>
                <w:lang w:val="it-IT"/>
              </w:rPr>
              <w:t xml:space="preserve"> </w:t>
            </w:r>
          </w:p>
          <w:p w14:paraId="11C7AD91" w14:textId="77777777" w:rsidR="00DE3833" w:rsidRPr="007A1066" w:rsidRDefault="00DE3833" w:rsidP="00DE3833">
            <w:pPr>
              <w:pStyle w:val="NoSpacing"/>
              <w:jc w:val="both"/>
              <w:rPr>
                <w:rFonts w:ascii="Arial" w:hAnsi="Arial" w:cs="Arial"/>
                <w:lang w:val="it-IT"/>
              </w:rPr>
            </w:pPr>
            <w:r w:rsidRPr="007A1066">
              <w:rPr>
                <w:rFonts w:ascii="Arial" w:hAnsi="Arial" w:cs="Arial"/>
                <w:lang w:val="it-IT"/>
              </w:rPr>
              <w:t xml:space="preserve">Lapwing </w:t>
            </w:r>
            <w:r w:rsidRPr="007A1066">
              <w:rPr>
                <w:rFonts w:ascii="Arial" w:hAnsi="Arial" w:cs="Arial"/>
                <w:i/>
                <w:iCs/>
                <w:lang w:val="it-IT"/>
              </w:rPr>
              <w:t xml:space="preserve">Vanellus vanellus </w:t>
            </w:r>
            <w:r w:rsidRPr="007A1066">
              <w:rPr>
                <w:rFonts w:ascii="Arial" w:hAnsi="Arial" w:cs="Arial"/>
                <w:lang w:val="it-IT"/>
              </w:rPr>
              <w:t xml:space="preserve">(A142) </w:t>
            </w:r>
            <w:r w:rsidRPr="007A1066">
              <w:rPr>
                <w:rFonts w:ascii="Arial" w:hAnsi="Arial" w:cs="Arial"/>
                <w:b/>
                <w:lang w:val="it-IT"/>
              </w:rPr>
              <w:t>M</w:t>
            </w:r>
            <w:r w:rsidRPr="007A1066">
              <w:rPr>
                <w:rFonts w:ascii="Arial" w:hAnsi="Arial" w:cs="Arial"/>
                <w:lang w:val="it-IT"/>
              </w:rPr>
              <w:t xml:space="preserve"> </w:t>
            </w:r>
          </w:p>
          <w:p w14:paraId="345A444E" w14:textId="77777777" w:rsidR="00DE3833" w:rsidRPr="00FB4BF0" w:rsidRDefault="00DE3833" w:rsidP="00DE3833">
            <w:pPr>
              <w:pStyle w:val="NoSpacing"/>
              <w:jc w:val="both"/>
              <w:rPr>
                <w:rFonts w:ascii="Arial" w:hAnsi="Arial" w:cs="Arial"/>
                <w:i/>
                <w:iCs/>
              </w:rPr>
            </w:pPr>
            <w:r w:rsidRPr="00FB4BF0">
              <w:rPr>
                <w:rFonts w:ascii="Arial" w:hAnsi="Arial" w:cs="Arial"/>
              </w:rPr>
              <w:t xml:space="preserve">Knot </w:t>
            </w:r>
            <w:r w:rsidRPr="00FB4BF0">
              <w:rPr>
                <w:rFonts w:ascii="Arial" w:hAnsi="Arial" w:cs="Arial"/>
                <w:i/>
                <w:iCs/>
              </w:rPr>
              <w:t xml:space="preserve">Calidris canutus (A143) </w:t>
            </w:r>
            <w:r w:rsidRPr="00FB4BF0">
              <w:rPr>
                <w:rFonts w:ascii="Arial" w:hAnsi="Arial" w:cs="Arial"/>
                <w:b/>
              </w:rPr>
              <w:t>M</w:t>
            </w:r>
          </w:p>
          <w:p w14:paraId="05FB39C2" w14:textId="77777777" w:rsidR="00DE3833" w:rsidRPr="00FB4BF0" w:rsidRDefault="00DE3833" w:rsidP="00DE3833">
            <w:pPr>
              <w:pStyle w:val="NoSpacing"/>
              <w:jc w:val="both"/>
              <w:rPr>
                <w:rFonts w:ascii="Arial" w:hAnsi="Arial" w:cs="Arial"/>
              </w:rPr>
            </w:pPr>
            <w:r w:rsidRPr="00FB4BF0">
              <w:rPr>
                <w:rFonts w:ascii="Arial" w:hAnsi="Arial" w:cs="Arial"/>
              </w:rPr>
              <w:t xml:space="preserve">Dunlin </w:t>
            </w:r>
            <w:r w:rsidRPr="00FB4BF0">
              <w:rPr>
                <w:rFonts w:ascii="Arial" w:hAnsi="Arial" w:cs="Arial"/>
                <w:i/>
                <w:iCs/>
              </w:rPr>
              <w:t xml:space="preserve">Calidris </w:t>
            </w:r>
            <w:proofErr w:type="spellStart"/>
            <w:r w:rsidRPr="00FB4BF0">
              <w:rPr>
                <w:rFonts w:ascii="Arial" w:hAnsi="Arial" w:cs="Arial"/>
                <w:i/>
                <w:iCs/>
              </w:rPr>
              <w:t>alpina</w:t>
            </w:r>
            <w:proofErr w:type="spellEnd"/>
            <w:r w:rsidRPr="00FB4BF0">
              <w:rPr>
                <w:rFonts w:ascii="Arial" w:hAnsi="Arial" w:cs="Arial"/>
                <w:i/>
                <w:iCs/>
              </w:rPr>
              <w:t xml:space="preserve"> </w:t>
            </w:r>
            <w:r w:rsidRPr="00FB4BF0">
              <w:rPr>
                <w:rFonts w:ascii="Arial" w:hAnsi="Arial" w:cs="Arial"/>
              </w:rPr>
              <w:t xml:space="preserve">(A149) </w:t>
            </w:r>
            <w:r w:rsidRPr="00FB4BF0">
              <w:rPr>
                <w:rFonts w:ascii="Arial" w:hAnsi="Arial" w:cs="Arial"/>
                <w:b/>
              </w:rPr>
              <w:t>M</w:t>
            </w:r>
            <w:r w:rsidRPr="00FB4BF0">
              <w:rPr>
                <w:rFonts w:ascii="Arial" w:hAnsi="Arial" w:cs="Arial"/>
              </w:rPr>
              <w:t xml:space="preserve"> </w:t>
            </w:r>
          </w:p>
          <w:p w14:paraId="11E37DA7" w14:textId="77777777" w:rsidR="00DE3833" w:rsidRPr="00FB4BF0" w:rsidRDefault="00DE3833" w:rsidP="00DE3833">
            <w:pPr>
              <w:pStyle w:val="NoSpacing"/>
              <w:jc w:val="both"/>
              <w:rPr>
                <w:rFonts w:ascii="Arial" w:hAnsi="Arial" w:cs="Arial"/>
              </w:rPr>
            </w:pPr>
            <w:r w:rsidRPr="00FB4BF0">
              <w:rPr>
                <w:rFonts w:ascii="Arial" w:hAnsi="Arial" w:cs="Arial"/>
              </w:rPr>
              <w:t xml:space="preserve">Black-tailed Godwit </w:t>
            </w:r>
            <w:r w:rsidRPr="00FB4BF0">
              <w:rPr>
                <w:rFonts w:ascii="Arial" w:hAnsi="Arial" w:cs="Arial"/>
                <w:i/>
                <w:iCs/>
              </w:rPr>
              <w:t xml:space="preserve">Limosa </w:t>
            </w:r>
            <w:proofErr w:type="spellStart"/>
            <w:r w:rsidRPr="00FB4BF0">
              <w:rPr>
                <w:rFonts w:ascii="Arial" w:hAnsi="Arial" w:cs="Arial"/>
                <w:i/>
                <w:iCs/>
              </w:rPr>
              <w:t>limosa</w:t>
            </w:r>
            <w:proofErr w:type="spellEnd"/>
            <w:r w:rsidRPr="00FB4BF0">
              <w:rPr>
                <w:rFonts w:ascii="Arial" w:hAnsi="Arial" w:cs="Arial"/>
                <w:i/>
                <w:iCs/>
              </w:rPr>
              <w:t xml:space="preserve"> </w:t>
            </w:r>
            <w:r w:rsidRPr="00FB4BF0">
              <w:rPr>
                <w:rFonts w:ascii="Arial" w:hAnsi="Arial" w:cs="Arial"/>
              </w:rPr>
              <w:t xml:space="preserve">(A156) </w:t>
            </w:r>
            <w:r w:rsidRPr="00FB4BF0">
              <w:rPr>
                <w:rFonts w:ascii="Arial" w:hAnsi="Arial" w:cs="Arial"/>
                <w:b/>
              </w:rPr>
              <w:t>M</w:t>
            </w:r>
            <w:r w:rsidRPr="00FB4BF0">
              <w:rPr>
                <w:rFonts w:ascii="Arial" w:hAnsi="Arial" w:cs="Arial"/>
              </w:rPr>
              <w:t xml:space="preserve"> </w:t>
            </w:r>
          </w:p>
          <w:p w14:paraId="5F582FA8" w14:textId="77777777" w:rsidR="00DE3833" w:rsidRPr="00FB4BF0" w:rsidRDefault="00DE3833" w:rsidP="00DE3833">
            <w:pPr>
              <w:pStyle w:val="NoSpacing"/>
              <w:jc w:val="both"/>
              <w:rPr>
                <w:rFonts w:ascii="Arial" w:hAnsi="Arial" w:cs="Arial"/>
              </w:rPr>
            </w:pPr>
            <w:r w:rsidRPr="00FB4BF0">
              <w:rPr>
                <w:rFonts w:ascii="Arial" w:hAnsi="Arial" w:cs="Arial"/>
              </w:rPr>
              <w:t xml:space="preserve">Bar-tailed Godwit </w:t>
            </w:r>
            <w:r w:rsidRPr="00FB4BF0">
              <w:rPr>
                <w:rFonts w:ascii="Arial" w:hAnsi="Arial" w:cs="Arial"/>
                <w:i/>
                <w:iCs/>
              </w:rPr>
              <w:t xml:space="preserve">Limosa </w:t>
            </w:r>
            <w:proofErr w:type="spellStart"/>
            <w:r w:rsidRPr="00FB4BF0">
              <w:rPr>
                <w:rFonts w:ascii="Arial" w:hAnsi="Arial" w:cs="Arial"/>
                <w:i/>
                <w:iCs/>
              </w:rPr>
              <w:t>lapponica</w:t>
            </w:r>
            <w:proofErr w:type="spellEnd"/>
            <w:r w:rsidRPr="00FB4BF0">
              <w:rPr>
                <w:rFonts w:ascii="Arial" w:hAnsi="Arial" w:cs="Arial"/>
                <w:i/>
                <w:iCs/>
              </w:rPr>
              <w:t xml:space="preserve"> </w:t>
            </w:r>
            <w:r w:rsidRPr="00FB4BF0">
              <w:rPr>
                <w:rFonts w:ascii="Arial" w:hAnsi="Arial" w:cs="Arial"/>
              </w:rPr>
              <w:t xml:space="preserve">(A157) </w:t>
            </w:r>
            <w:r w:rsidRPr="00FB4BF0">
              <w:rPr>
                <w:rFonts w:ascii="Arial" w:hAnsi="Arial" w:cs="Arial"/>
                <w:b/>
              </w:rPr>
              <w:t>M</w:t>
            </w:r>
            <w:r w:rsidRPr="00FB4BF0">
              <w:rPr>
                <w:rFonts w:ascii="Arial" w:hAnsi="Arial" w:cs="Arial"/>
              </w:rPr>
              <w:t xml:space="preserve"> </w:t>
            </w:r>
          </w:p>
          <w:p w14:paraId="55291E84" w14:textId="77777777" w:rsidR="00DE3833" w:rsidRPr="00FB4BF0" w:rsidRDefault="00DE3833" w:rsidP="00DE3833">
            <w:pPr>
              <w:pStyle w:val="NoSpacing"/>
              <w:jc w:val="both"/>
              <w:rPr>
                <w:rFonts w:ascii="Arial" w:hAnsi="Arial" w:cs="Arial"/>
              </w:rPr>
            </w:pPr>
            <w:r w:rsidRPr="00FB4BF0">
              <w:rPr>
                <w:rFonts w:ascii="Arial" w:hAnsi="Arial" w:cs="Arial"/>
              </w:rPr>
              <w:t xml:space="preserve">Curlew </w:t>
            </w:r>
            <w:r w:rsidRPr="00FB4BF0">
              <w:rPr>
                <w:rFonts w:ascii="Arial" w:hAnsi="Arial" w:cs="Arial"/>
                <w:i/>
                <w:iCs/>
              </w:rPr>
              <w:t xml:space="preserve">Numenius </w:t>
            </w:r>
            <w:proofErr w:type="spellStart"/>
            <w:r w:rsidRPr="00FB4BF0">
              <w:rPr>
                <w:rFonts w:ascii="Arial" w:hAnsi="Arial" w:cs="Arial"/>
                <w:i/>
                <w:iCs/>
              </w:rPr>
              <w:t>arquata</w:t>
            </w:r>
            <w:proofErr w:type="spellEnd"/>
            <w:r w:rsidRPr="00FB4BF0">
              <w:rPr>
                <w:rFonts w:ascii="Arial" w:hAnsi="Arial" w:cs="Arial"/>
              </w:rPr>
              <w:t xml:space="preserve"> (A160) </w:t>
            </w:r>
            <w:r w:rsidRPr="00FB4BF0">
              <w:rPr>
                <w:rFonts w:ascii="Arial" w:hAnsi="Arial" w:cs="Arial"/>
                <w:b/>
              </w:rPr>
              <w:t>M</w:t>
            </w:r>
            <w:r w:rsidRPr="00FB4BF0">
              <w:rPr>
                <w:rFonts w:ascii="Arial" w:hAnsi="Arial" w:cs="Arial"/>
              </w:rPr>
              <w:t xml:space="preserve"> </w:t>
            </w:r>
          </w:p>
          <w:p w14:paraId="258489AB" w14:textId="77777777" w:rsidR="00DE3833" w:rsidRPr="00FB4BF0" w:rsidRDefault="00DE3833" w:rsidP="00DE3833">
            <w:pPr>
              <w:pStyle w:val="NoSpacing"/>
              <w:jc w:val="both"/>
              <w:rPr>
                <w:rFonts w:ascii="Arial" w:hAnsi="Arial" w:cs="Arial"/>
              </w:rPr>
            </w:pPr>
            <w:r w:rsidRPr="00FB4BF0">
              <w:rPr>
                <w:rFonts w:ascii="Arial" w:hAnsi="Arial" w:cs="Arial"/>
              </w:rPr>
              <w:t xml:space="preserve">Redshank </w:t>
            </w:r>
            <w:r w:rsidRPr="00FB4BF0">
              <w:rPr>
                <w:rFonts w:ascii="Arial" w:hAnsi="Arial" w:cs="Arial"/>
                <w:i/>
                <w:iCs/>
              </w:rPr>
              <w:t xml:space="preserve">Tringa </w:t>
            </w:r>
            <w:proofErr w:type="spellStart"/>
            <w:r w:rsidRPr="00FB4BF0">
              <w:rPr>
                <w:rFonts w:ascii="Arial" w:hAnsi="Arial" w:cs="Arial"/>
                <w:i/>
                <w:iCs/>
              </w:rPr>
              <w:t>totanus</w:t>
            </w:r>
            <w:proofErr w:type="spellEnd"/>
            <w:r w:rsidRPr="00FB4BF0">
              <w:rPr>
                <w:rFonts w:ascii="Arial" w:hAnsi="Arial" w:cs="Arial"/>
              </w:rPr>
              <w:t xml:space="preserve"> (A162) </w:t>
            </w:r>
            <w:r w:rsidRPr="00FB4BF0">
              <w:rPr>
                <w:rFonts w:ascii="Arial" w:hAnsi="Arial" w:cs="Arial"/>
                <w:b/>
              </w:rPr>
              <w:t>M</w:t>
            </w:r>
            <w:r w:rsidRPr="00FB4BF0">
              <w:rPr>
                <w:rFonts w:ascii="Arial" w:hAnsi="Arial" w:cs="Arial"/>
              </w:rPr>
              <w:t xml:space="preserve"> </w:t>
            </w:r>
          </w:p>
          <w:p w14:paraId="68A2252F" w14:textId="77777777" w:rsidR="00DE3833" w:rsidRPr="00FB4BF0" w:rsidRDefault="00DE3833" w:rsidP="00DE3833">
            <w:pPr>
              <w:pStyle w:val="NoSpacing"/>
              <w:jc w:val="both"/>
              <w:rPr>
                <w:rFonts w:ascii="Arial" w:hAnsi="Arial" w:cs="Arial"/>
              </w:rPr>
            </w:pPr>
            <w:r w:rsidRPr="00FB4BF0">
              <w:rPr>
                <w:rFonts w:ascii="Arial" w:hAnsi="Arial" w:cs="Arial"/>
              </w:rPr>
              <w:t xml:space="preserve">Greenshank </w:t>
            </w:r>
            <w:r w:rsidRPr="00FB4BF0">
              <w:rPr>
                <w:rFonts w:ascii="Arial" w:hAnsi="Arial" w:cs="Arial"/>
                <w:i/>
                <w:iCs/>
              </w:rPr>
              <w:t xml:space="preserve">Tringa </w:t>
            </w:r>
            <w:proofErr w:type="spellStart"/>
            <w:r w:rsidRPr="00FB4BF0">
              <w:rPr>
                <w:rFonts w:ascii="Arial" w:hAnsi="Arial" w:cs="Arial"/>
                <w:i/>
                <w:iCs/>
              </w:rPr>
              <w:t>nebularia</w:t>
            </w:r>
            <w:proofErr w:type="spellEnd"/>
            <w:r w:rsidRPr="00FB4BF0">
              <w:rPr>
                <w:rFonts w:ascii="Arial" w:hAnsi="Arial" w:cs="Arial"/>
                <w:i/>
                <w:iCs/>
              </w:rPr>
              <w:t xml:space="preserve"> </w:t>
            </w:r>
            <w:r w:rsidRPr="00FB4BF0">
              <w:rPr>
                <w:rFonts w:ascii="Arial" w:hAnsi="Arial" w:cs="Arial"/>
              </w:rPr>
              <w:t xml:space="preserve">(A164) </w:t>
            </w:r>
            <w:r w:rsidRPr="00FB4BF0">
              <w:rPr>
                <w:rFonts w:ascii="Arial" w:hAnsi="Arial" w:cs="Arial"/>
                <w:b/>
              </w:rPr>
              <w:t>M</w:t>
            </w:r>
            <w:r w:rsidRPr="00FB4BF0">
              <w:rPr>
                <w:rFonts w:ascii="Arial" w:hAnsi="Arial" w:cs="Arial"/>
              </w:rPr>
              <w:t xml:space="preserve"> </w:t>
            </w:r>
          </w:p>
          <w:p w14:paraId="1F9301CA" w14:textId="77777777" w:rsidR="00DE3833" w:rsidRPr="00FB4BF0" w:rsidRDefault="00DE3833" w:rsidP="00DE3833">
            <w:pPr>
              <w:jc w:val="both"/>
              <w:rPr>
                <w:rFonts w:ascii="Arial" w:hAnsi="Arial" w:cs="Arial"/>
                <w:b/>
              </w:rPr>
            </w:pPr>
            <w:r w:rsidRPr="00FB4BF0">
              <w:rPr>
                <w:rFonts w:ascii="Arial" w:hAnsi="Arial" w:cs="Arial"/>
              </w:rPr>
              <w:t xml:space="preserve">Black-headed Gull </w:t>
            </w:r>
            <w:proofErr w:type="spellStart"/>
            <w:r w:rsidRPr="00FB4BF0">
              <w:rPr>
                <w:rFonts w:ascii="Arial" w:hAnsi="Arial" w:cs="Arial"/>
                <w:i/>
                <w:iCs/>
              </w:rPr>
              <w:t>Chroicocephalus</w:t>
            </w:r>
            <w:proofErr w:type="spellEnd"/>
            <w:r w:rsidRPr="00FB4BF0">
              <w:rPr>
                <w:rFonts w:ascii="Arial" w:hAnsi="Arial" w:cs="Arial"/>
                <w:i/>
                <w:iCs/>
              </w:rPr>
              <w:t xml:space="preserve"> ridibundus</w:t>
            </w:r>
            <w:r w:rsidRPr="00FB4BF0">
              <w:rPr>
                <w:rFonts w:ascii="Arial" w:hAnsi="Arial" w:cs="Arial"/>
              </w:rPr>
              <w:t xml:space="preserve"> (A179) </w:t>
            </w:r>
            <w:r w:rsidRPr="00FB4BF0">
              <w:rPr>
                <w:rFonts w:ascii="Arial" w:hAnsi="Arial" w:cs="Arial"/>
                <w:b/>
              </w:rPr>
              <w:t>M</w:t>
            </w:r>
          </w:p>
          <w:p w14:paraId="073D62E5" w14:textId="77777777" w:rsidR="00E533E4" w:rsidRPr="00FB4BF0" w:rsidRDefault="00E533E4" w:rsidP="00E533E4">
            <w:pPr>
              <w:jc w:val="both"/>
              <w:rPr>
                <w:rFonts w:ascii="Arial" w:hAnsi="Arial" w:cs="Arial"/>
                <w:color w:val="000000"/>
                <w:sz w:val="20"/>
                <w:szCs w:val="20"/>
                <w:shd w:val="clear" w:color="auto" w:fill="FFFFFF"/>
              </w:rPr>
            </w:pPr>
            <w:r w:rsidRPr="00FB4BF0">
              <w:rPr>
                <w:rFonts w:ascii="Arial" w:hAnsi="Arial" w:cs="Arial"/>
                <w:color w:val="000000"/>
                <w:sz w:val="20"/>
                <w:szCs w:val="20"/>
                <w:shd w:val="clear" w:color="auto" w:fill="FFFFFF"/>
              </w:rPr>
              <w:t xml:space="preserve">Wetland and Waterbirds [A999] </w:t>
            </w:r>
            <w:r w:rsidRPr="00FB4BF0">
              <w:rPr>
                <w:rFonts w:ascii="Arial" w:hAnsi="Arial" w:cs="Arial"/>
                <w:b/>
                <w:bCs/>
                <w:color w:val="000000"/>
                <w:sz w:val="20"/>
                <w:szCs w:val="20"/>
                <w:shd w:val="clear" w:color="auto" w:fill="FFFFFF"/>
              </w:rPr>
              <w:t>M</w:t>
            </w:r>
          </w:p>
          <w:p w14:paraId="205D9D17" w14:textId="2F796187" w:rsidR="00E533E4" w:rsidRPr="00FB4BF0" w:rsidRDefault="00E533E4" w:rsidP="00DE3833">
            <w:pPr>
              <w:jc w:val="both"/>
              <w:rPr>
                <w:rFonts w:ascii="Arial" w:hAnsi="Arial" w:cs="Arial"/>
                <w:b/>
                <w:bCs/>
              </w:rPr>
            </w:pPr>
          </w:p>
        </w:tc>
        <w:tc>
          <w:tcPr>
            <w:tcW w:w="4626" w:type="dxa"/>
          </w:tcPr>
          <w:p w14:paraId="5E9F4FA2" w14:textId="2A5001DA" w:rsidR="00DE3833" w:rsidRPr="00260D5A" w:rsidRDefault="003D7D98" w:rsidP="00DE3833">
            <w:pPr>
              <w:pStyle w:val="NormalWeb"/>
              <w:shd w:val="clear" w:color="auto" w:fill="FFFFFF"/>
              <w:spacing w:before="0" w:beforeAutospacing="0" w:after="180" w:afterAutospacing="0"/>
              <w:jc w:val="both"/>
              <w:rPr>
                <w:rFonts w:ascii="Arial" w:hAnsi="Arial" w:cs="Arial"/>
                <w:color w:val="000000"/>
                <w:sz w:val="22"/>
                <w:szCs w:val="22"/>
              </w:rPr>
            </w:pPr>
            <w:r w:rsidRPr="003D7D98">
              <w:rPr>
                <w:rFonts w:ascii="Arial" w:hAnsi="Arial" w:cs="Arial"/>
                <w:b/>
                <w:bCs/>
                <w:color w:val="000000"/>
                <w:sz w:val="22"/>
                <w:szCs w:val="22"/>
              </w:rPr>
              <w:t>Conservation Objective</w:t>
            </w:r>
            <w:r>
              <w:rPr>
                <w:rFonts w:ascii="Arial" w:hAnsi="Arial" w:cs="Arial"/>
                <w:color w:val="000000"/>
                <w:sz w:val="22"/>
                <w:szCs w:val="22"/>
              </w:rPr>
              <w:t xml:space="preserve"> - </w:t>
            </w:r>
            <w:r w:rsidR="00DE3833" w:rsidRPr="00260D5A">
              <w:rPr>
                <w:rFonts w:ascii="Arial" w:hAnsi="Arial" w:cs="Arial"/>
                <w:color w:val="000000"/>
                <w:sz w:val="22"/>
                <w:szCs w:val="22"/>
              </w:rPr>
              <w:t xml:space="preserve">Maintain the favourable conservation condition:  Area stable or increasing.  </w:t>
            </w:r>
          </w:p>
          <w:p w14:paraId="55BD4899" w14:textId="7C365F2F" w:rsidR="00DE3833" w:rsidRPr="003D7D98" w:rsidRDefault="00DE3833" w:rsidP="00DE3833">
            <w:pPr>
              <w:pStyle w:val="NormalWeb"/>
              <w:shd w:val="clear" w:color="auto" w:fill="FFFFFF"/>
              <w:spacing w:before="0" w:beforeAutospacing="0" w:after="180" w:afterAutospacing="0"/>
              <w:jc w:val="both"/>
              <w:rPr>
                <w:rFonts w:ascii="Arial" w:hAnsi="Arial" w:cs="Arial"/>
                <w:b/>
                <w:bCs/>
                <w:color w:val="000000"/>
                <w:sz w:val="22"/>
                <w:szCs w:val="22"/>
              </w:rPr>
            </w:pPr>
            <w:r w:rsidRPr="009F1BC7">
              <w:rPr>
                <w:rFonts w:ascii="Arial" w:hAnsi="Arial" w:cs="Arial"/>
                <w:b/>
                <w:bCs/>
                <w:color w:val="000000"/>
                <w:sz w:val="22"/>
                <w:szCs w:val="22"/>
              </w:rPr>
              <w:t>Targets</w:t>
            </w:r>
            <w:r w:rsidR="003D7D98">
              <w:rPr>
                <w:rFonts w:ascii="Arial" w:hAnsi="Arial" w:cs="Arial"/>
                <w:b/>
                <w:bCs/>
                <w:color w:val="000000"/>
                <w:sz w:val="22"/>
                <w:szCs w:val="22"/>
              </w:rPr>
              <w:t xml:space="preserve"> - </w:t>
            </w:r>
            <w:r w:rsidRPr="00260D5A">
              <w:rPr>
                <w:rFonts w:ascii="Arial" w:hAnsi="Arial" w:cs="Arial"/>
                <w:color w:val="000000"/>
                <w:sz w:val="22"/>
                <w:szCs w:val="22"/>
              </w:rPr>
              <w:t xml:space="preserve">No significant decline in breeding population abundance </w:t>
            </w:r>
            <w:r>
              <w:rPr>
                <w:rFonts w:ascii="Arial" w:hAnsi="Arial" w:cs="Arial"/>
                <w:color w:val="000000"/>
                <w:sz w:val="22"/>
                <w:szCs w:val="22"/>
              </w:rPr>
              <w:t>(</w:t>
            </w:r>
            <w:r w:rsidRPr="00260D5A">
              <w:rPr>
                <w:rFonts w:ascii="Arial" w:hAnsi="Arial" w:cs="Arial"/>
                <w:color w:val="000000"/>
                <w:sz w:val="22"/>
                <w:szCs w:val="22"/>
              </w:rPr>
              <w:t>apparently occupied nests</w:t>
            </w:r>
            <w:r>
              <w:rPr>
                <w:rFonts w:ascii="Arial" w:hAnsi="Arial" w:cs="Arial"/>
                <w:color w:val="000000"/>
                <w:sz w:val="22"/>
                <w:szCs w:val="22"/>
              </w:rPr>
              <w:t>)</w:t>
            </w:r>
            <w:r w:rsidRPr="00260D5A">
              <w:rPr>
                <w:rFonts w:ascii="Arial" w:hAnsi="Arial" w:cs="Arial"/>
                <w:color w:val="000000"/>
                <w:sz w:val="22"/>
                <w:szCs w:val="22"/>
              </w:rPr>
              <w:t>, no significant decline in productivity rate, no significant decline in distribution of breeding colonies, no significant decline in prey biomass available.  No significant increase in barriers to connectivity.</w:t>
            </w:r>
          </w:p>
          <w:p w14:paraId="5996FEEE" w14:textId="77777777" w:rsidR="00DE3833" w:rsidRDefault="00DE3833" w:rsidP="00DE3833">
            <w:pPr>
              <w:pStyle w:val="NormalWeb"/>
              <w:shd w:val="clear" w:color="auto" w:fill="FFFFFF"/>
              <w:spacing w:before="0" w:beforeAutospacing="0" w:after="180" w:afterAutospacing="0"/>
              <w:jc w:val="both"/>
              <w:rPr>
                <w:rFonts w:ascii="Arial" w:hAnsi="Arial" w:cs="Arial"/>
                <w:color w:val="000000"/>
                <w:sz w:val="22"/>
                <w:szCs w:val="22"/>
              </w:rPr>
            </w:pPr>
            <w:r w:rsidRPr="00260D5A">
              <w:rPr>
                <w:rFonts w:ascii="Arial" w:hAnsi="Arial" w:cs="Arial"/>
                <w:color w:val="000000"/>
                <w:sz w:val="22"/>
                <w:szCs w:val="22"/>
              </w:rPr>
              <w:t>Disturbance at the breeding site - Human activities should occur at levels that do not adversely affect the breeding populations</w:t>
            </w:r>
            <w:r>
              <w:rPr>
                <w:rFonts w:ascii="Arial" w:hAnsi="Arial" w:cs="Arial"/>
                <w:color w:val="000000"/>
                <w:sz w:val="22"/>
                <w:szCs w:val="22"/>
              </w:rPr>
              <w:t>.</w:t>
            </w:r>
          </w:p>
          <w:p w14:paraId="10BED924" w14:textId="2DE5995D" w:rsidR="00DE3833" w:rsidRDefault="00DE3833" w:rsidP="00DE3833">
            <w:pPr>
              <w:pStyle w:val="NormalWeb"/>
              <w:shd w:val="clear" w:color="auto" w:fill="FFFFFF"/>
              <w:spacing w:before="0" w:beforeAutospacing="0" w:after="180" w:afterAutospacing="0"/>
              <w:jc w:val="both"/>
              <w:rPr>
                <w:rFonts w:ascii="Arial" w:hAnsi="Arial" w:cs="Arial"/>
                <w:color w:val="000000"/>
                <w:sz w:val="22"/>
                <w:szCs w:val="22"/>
              </w:rPr>
            </w:pPr>
            <w:r>
              <w:rPr>
                <w:rFonts w:ascii="Arial" w:hAnsi="Arial" w:cs="Arial"/>
                <w:color w:val="000000"/>
                <w:sz w:val="22"/>
                <w:szCs w:val="22"/>
              </w:rPr>
              <w:t xml:space="preserve">Population trend </w:t>
            </w:r>
            <w:r w:rsidR="009567BE">
              <w:rPr>
                <w:rFonts w:ascii="Arial" w:hAnsi="Arial" w:cs="Arial"/>
                <w:color w:val="000000"/>
                <w:sz w:val="22"/>
                <w:szCs w:val="22"/>
              </w:rPr>
              <w:t>–</w:t>
            </w:r>
            <w:r>
              <w:rPr>
                <w:rFonts w:ascii="Arial" w:hAnsi="Arial" w:cs="Arial"/>
                <w:color w:val="000000"/>
                <w:sz w:val="22"/>
                <w:szCs w:val="22"/>
              </w:rPr>
              <w:t xml:space="preserve"> </w:t>
            </w:r>
            <w:r w:rsidRPr="00260D5A">
              <w:rPr>
                <w:rFonts w:ascii="Arial" w:hAnsi="Arial" w:cs="Arial"/>
                <w:color w:val="000000"/>
                <w:sz w:val="22"/>
                <w:szCs w:val="22"/>
              </w:rPr>
              <w:t>Long</w:t>
            </w:r>
            <w:r w:rsidR="009567BE">
              <w:rPr>
                <w:rFonts w:ascii="Arial" w:hAnsi="Arial" w:cs="Arial"/>
                <w:color w:val="000000"/>
                <w:sz w:val="22"/>
                <w:szCs w:val="22"/>
              </w:rPr>
              <w:t>-</w:t>
            </w:r>
            <w:r w:rsidRPr="00260D5A">
              <w:rPr>
                <w:rFonts w:ascii="Arial" w:hAnsi="Arial" w:cs="Arial"/>
                <w:color w:val="000000"/>
                <w:sz w:val="22"/>
                <w:szCs w:val="22"/>
              </w:rPr>
              <w:t>term population trend stable or increasing</w:t>
            </w:r>
            <w:r w:rsidR="003D7D98">
              <w:rPr>
                <w:rFonts w:ascii="Arial" w:hAnsi="Arial" w:cs="Arial"/>
                <w:color w:val="000000"/>
                <w:sz w:val="22"/>
                <w:szCs w:val="22"/>
              </w:rPr>
              <w:t xml:space="preserve">. </w:t>
            </w:r>
            <w:r w:rsidRPr="00260D5A">
              <w:rPr>
                <w:rFonts w:ascii="Arial" w:hAnsi="Arial" w:cs="Arial"/>
                <w:color w:val="000000"/>
                <w:sz w:val="22"/>
                <w:szCs w:val="22"/>
              </w:rPr>
              <w:t xml:space="preserve"> </w:t>
            </w:r>
          </w:p>
          <w:p w14:paraId="7958B020" w14:textId="77777777" w:rsidR="00DE3833" w:rsidRDefault="00DE3833" w:rsidP="00DE3833">
            <w:pPr>
              <w:jc w:val="both"/>
              <w:rPr>
                <w:rFonts w:ascii="Arial" w:hAnsi="Arial" w:cs="Arial"/>
                <w:color w:val="000000"/>
              </w:rPr>
            </w:pPr>
            <w:r>
              <w:rPr>
                <w:rFonts w:ascii="Arial" w:hAnsi="Arial" w:cs="Arial"/>
                <w:color w:val="000000"/>
              </w:rPr>
              <w:t xml:space="preserve">Distribution - </w:t>
            </w:r>
            <w:r w:rsidRPr="00260D5A">
              <w:rPr>
                <w:rFonts w:ascii="Arial" w:hAnsi="Arial" w:cs="Arial"/>
                <w:color w:val="000000"/>
              </w:rPr>
              <w:t xml:space="preserve">No significant decrease in the range, </w:t>
            </w:r>
            <w:proofErr w:type="gramStart"/>
            <w:r w:rsidRPr="00260D5A">
              <w:rPr>
                <w:rFonts w:ascii="Arial" w:hAnsi="Arial" w:cs="Arial"/>
                <w:color w:val="000000"/>
              </w:rPr>
              <w:t>timing</w:t>
            </w:r>
            <w:proofErr w:type="gramEnd"/>
            <w:r w:rsidRPr="00260D5A">
              <w:rPr>
                <w:rFonts w:ascii="Arial" w:hAnsi="Arial" w:cs="Arial"/>
                <w:color w:val="000000"/>
              </w:rPr>
              <w:t xml:space="preserve"> or intensity of use of areas by individual species (other than that occurring from natural patterns or variation) </w:t>
            </w:r>
          </w:p>
          <w:p w14:paraId="42604768" w14:textId="24E1AB24" w:rsidR="00E533E4" w:rsidRPr="00260D5A" w:rsidRDefault="00E533E4" w:rsidP="00DE3833">
            <w:pPr>
              <w:jc w:val="both"/>
              <w:rPr>
                <w:rFonts w:ascii="Arial" w:hAnsi="Arial" w:cs="Arial"/>
                <w:b/>
                <w:bCs/>
              </w:rPr>
            </w:pPr>
            <w:r w:rsidRPr="007B6C10">
              <w:rPr>
                <w:rFonts w:ascii="Arial" w:hAnsi="Arial" w:cs="Arial"/>
                <w:color w:val="000000"/>
              </w:rPr>
              <w:t>The permanent area occupied</w:t>
            </w:r>
            <w:r>
              <w:rPr>
                <w:rFonts w:ascii="Arial" w:hAnsi="Arial" w:cs="Arial"/>
                <w:color w:val="000000"/>
              </w:rPr>
              <w:t xml:space="preserve"> </w:t>
            </w:r>
            <w:r w:rsidRPr="007B6C10">
              <w:rPr>
                <w:rFonts w:ascii="Arial" w:hAnsi="Arial" w:cs="Arial"/>
                <w:color w:val="000000"/>
              </w:rPr>
              <w:t>by the wetland habitat should</w:t>
            </w:r>
            <w:r>
              <w:rPr>
                <w:rFonts w:ascii="Arial" w:hAnsi="Arial" w:cs="Arial"/>
                <w:color w:val="000000"/>
              </w:rPr>
              <w:t xml:space="preserve"> </w:t>
            </w:r>
            <w:r w:rsidRPr="007B6C10">
              <w:rPr>
                <w:rFonts w:ascii="Arial" w:hAnsi="Arial" w:cs="Arial"/>
                <w:color w:val="000000"/>
              </w:rPr>
              <w:t>be stable and not significantly</w:t>
            </w:r>
            <w:r>
              <w:rPr>
                <w:rFonts w:ascii="Arial" w:hAnsi="Arial" w:cs="Arial"/>
                <w:color w:val="000000"/>
              </w:rPr>
              <w:t xml:space="preserve"> </w:t>
            </w:r>
            <w:r w:rsidRPr="007B6C10">
              <w:rPr>
                <w:rFonts w:ascii="Arial" w:hAnsi="Arial" w:cs="Arial"/>
                <w:color w:val="000000"/>
              </w:rPr>
              <w:t>less than the area of</w:t>
            </w:r>
            <w:r>
              <w:rPr>
                <w:rFonts w:ascii="Arial" w:hAnsi="Arial" w:cs="Arial"/>
                <w:color w:val="000000"/>
              </w:rPr>
              <w:t xml:space="preserve"> </w:t>
            </w:r>
            <w:r w:rsidRPr="007B6C10">
              <w:rPr>
                <w:rFonts w:ascii="Arial" w:hAnsi="Arial" w:cs="Arial"/>
                <w:color w:val="000000"/>
              </w:rPr>
              <w:t>32,261ha, other than that</w:t>
            </w:r>
            <w:r>
              <w:rPr>
                <w:rFonts w:ascii="Arial" w:hAnsi="Arial" w:cs="Arial"/>
                <w:color w:val="000000"/>
              </w:rPr>
              <w:t xml:space="preserve"> </w:t>
            </w:r>
            <w:r w:rsidRPr="007B6C10">
              <w:rPr>
                <w:rFonts w:ascii="Arial" w:hAnsi="Arial" w:cs="Arial"/>
                <w:color w:val="000000"/>
              </w:rPr>
              <w:t>occurring from natural</w:t>
            </w:r>
            <w:r>
              <w:rPr>
                <w:rFonts w:ascii="Arial" w:hAnsi="Arial" w:cs="Arial"/>
                <w:color w:val="000000"/>
              </w:rPr>
              <w:t xml:space="preserve"> </w:t>
            </w:r>
            <w:r w:rsidRPr="007B6C10">
              <w:rPr>
                <w:rFonts w:ascii="Arial" w:hAnsi="Arial" w:cs="Arial"/>
                <w:color w:val="000000"/>
              </w:rPr>
              <w:t>patterns of variation</w:t>
            </w:r>
            <w:r>
              <w:rPr>
                <w:rFonts w:ascii="Arial" w:hAnsi="Arial" w:cs="Arial"/>
                <w:color w:val="000000"/>
              </w:rPr>
              <w:t>.</w:t>
            </w:r>
          </w:p>
        </w:tc>
      </w:tr>
      <w:tr w:rsidR="00FB4BF0" w:rsidRPr="00303C9E" w14:paraId="1C70B1E7" w14:textId="77777777" w:rsidTr="00FB4BF0">
        <w:tc>
          <w:tcPr>
            <w:tcW w:w="9016" w:type="dxa"/>
            <w:gridSpan w:val="2"/>
            <w:shd w:val="clear" w:color="auto" w:fill="D9D9D9" w:themeFill="background1" w:themeFillShade="D9"/>
          </w:tcPr>
          <w:p w14:paraId="089D7A7D" w14:textId="5E039919" w:rsidR="00FB4BF0" w:rsidRPr="00FB4BF0" w:rsidRDefault="00FB4BF0" w:rsidP="00FB4BF0">
            <w:pPr>
              <w:jc w:val="both"/>
              <w:rPr>
                <w:rFonts w:ascii="Arial" w:hAnsi="Arial" w:cs="Arial"/>
                <w:b/>
                <w:bCs/>
              </w:rPr>
            </w:pPr>
            <w:r w:rsidRPr="00FB4BF0">
              <w:rPr>
                <w:rFonts w:ascii="Arial" w:hAnsi="Arial" w:cs="Arial"/>
                <w:b/>
                <w:bCs/>
              </w:rPr>
              <w:t>Potential for Impact / Mitigation Measures</w:t>
            </w:r>
          </w:p>
        </w:tc>
      </w:tr>
      <w:tr w:rsidR="00DE3833" w:rsidRPr="00303C9E" w14:paraId="1707FA87" w14:textId="77777777" w:rsidTr="00A62FEA">
        <w:tc>
          <w:tcPr>
            <w:tcW w:w="9016" w:type="dxa"/>
            <w:gridSpan w:val="2"/>
          </w:tcPr>
          <w:p w14:paraId="664E8A34" w14:textId="42F423CF" w:rsidR="00DE3833" w:rsidRPr="00FB4BF0" w:rsidRDefault="00DE3833" w:rsidP="00C6208E">
            <w:pPr>
              <w:pStyle w:val="ListParagraph"/>
              <w:numPr>
                <w:ilvl w:val="0"/>
                <w:numId w:val="62"/>
              </w:numPr>
              <w:spacing w:after="0" w:line="240" w:lineRule="auto"/>
              <w:jc w:val="both"/>
              <w:rPr>
                <w:sz w:val="22"/>
                <w:szCs w:val="22"/>
              </w:rPr>
            </w:pPr>
            <w:r w:rsidRPr="00FB4BF0">
              <w:rPr>
                <w:sz w:val="22"/>
                <w:szCs w:val="22"/>
              </w:rPr>
              <w:t>Construction phase noise</w:t>
            </w:r>
            <w:r w:rsidR="001E5C5F" w:rsidRPr="00FB4BF0">
              <w:rPr>
                <w:sz w:val="22"/>
                <w:szCs w:val="22"/>
              </w:rPr>
              <w:t xml:space="preserve"> &amp; vibration</w:t>
            </w:r>
            <w:r w:rsidRPr="00FB4BF0">
              <w:rPr>
                <w:sz w:val="22"/>
                <w:szCs w:val="22"/>
              </w:rPr>
              <w:t xml:space="preserve"> and visual disturbance has the potential to impact SCI bird species of the SPA.</w:t>
            </w:r>
            <w:r w:rsidR="00FC06B0" w:rsidRPr="00FB4BF0">
              <w:rPr>
                <w:sz w:val="22"/>
                <w:szCs w:val="22"/>
              </w:rPr>
              <w:t xml:space="preserve">  Visual disturbance of SCI bird species could be caused by the presence of activities of personnel, plant and machinery during the construction, operational and decommissioning phases.</w:t>
            </w:r>
          </w:p>
          <w:p w14:paraId="6E18DF27" w14:textId="3ED615A7" w:rsidR="00DE3833" w:rsidRPr="00FB4BF0" w:rsidRDefault="00DE3833" w:rsidP="00C6208E">
            <w:pPr>
              <w:pStyle w:val="ListParagraph"/>
              <w:numPr>
                <w:ilvl w:val="0"/>
                <w:numId w:val="62"/>
              </w:numPr>
              <w:spacing w:after="0" w:line="240" w:lineRule="auto"/>
              <w:jc w:val="both"/>
              <w:rPr>
                <w:sz w:val="22"/>
                <w:szCs w:val="22"/>
              </w:rPr>
            </w:pPr>
            <w:r w:rsidRPr="00FB4BF0">
              <w:rPr>
                <w:b/>
                <w:bCs/>
                <w:sz w:val="22"/>
                <w:szCs w:val="22"/>
              </w:rPr>
              <w:t>Construction Noise</w:t>
            </w:r>
            <w:r w:rsidRPr="00FB4BF0">
              <w:rPr>
                <w:sz w:val="22"/>
                <w:szCs w:val="22"/>
              </w:rPr>
              <w:t xml:space="preserve"> </w:t>
            </w:r>
            <w:r w:rsidR="00B92360" w:rsidRPr="00FB4BF0">
              <w:rPr>
                <w:sz w:val="22"/>
                <w:szCs w:val="22"/>
              </w:rPr>
              <w:t xml:space="preserve">– </w:t>
            </w:r>
            <w:r w:rsidR="009567BE" w:rsidRPr="00FB4BF0">
              <w:rPr>
                <w:sz w:val="22"/>
                <w:szCs w:val="22"/>
              </w:rPr>
              <w:t xml:space="preserve">Noise </w:t>
            </w:r>
            <w:r w:rsidRPr="00FB4BF0">
              <w:rPr>
                <w:sz w:val="22"/>
                <w:szCs w:val="22"/>
              </w:rPr>
              <w:t xml:space="preserve">levels (EIAR Volume III Figure 11.3a and 11.3b) will produce moderate disturbance on birds. </w:t>
            </w:r>
          </w:p>
          <w:p w14:paraId="4B35DB72" w14:textId="06CBBEC0" w:rsidR="00DE3833" w:rsidRPr="00FB4BF0" w:rsidRDefault="00DE3833" w:rsidP="00C6208E">
            <w:pPr>
              <w:pStyle w:val="ListParagraph"/>
              <w:numPr>
                <w:ilvl w:val="0"/>
                <w:numId w:val="62"/>
              </w:numPr>
              <w:spacing w:after="0" w:line="240" w:lineRule="auto"/>
              <w:jc w:val="both"/>
              <w:rPr>
                <w:sz w:val="22"/>
                <w:szCs w:val="22"/>
              </w:rPr>
            </w:pPr>
            <w:r w:rsidRPr="00FB4BF0">
              <w:rPr>
                <w:sz w:val="22"/>
                <w:szCs w:val="22"/>
              </w:rPr>
              <w:t>I consider that minor negative impacts of short-term temporary duration are likely</w:t>
            </w:r>
            <w:r w:rsidR="00B07931" w:rsidRPr="00FB4BF0">
              <w:rPr>
                <w:sz w:val="22"/>
                <w:szCs w:val="22"/>
              </w:rPr>
              <w:t xml:space="preserve"> due to </w:t>
            </w:r>
            <w:r w:rsidR="004B09AF" w:rsidRPr="00FB4BF0">
              <w:rPr>
                <w:sz w:val="22"/>
                <w:szCs w:val="22"/>
              </w:rPr>
              <w:t xml:space="preserve">construction </w:t>
            </w:r>
            <w:r w:rsidR="00B07931" w:rsidRPr="00FB4BF0">
              <w:rPr>
                <w:sz w:val="22"/>
                <w:szCs w:val="22"/>
              </w:rPr>
              <w:t>noise</w:t>
            </w:r>
            <w:r w:rsidRPr="00FB4BF0">
              <w:rPr>
                <w:sz w:val="22"/>
                <w:szCs w:val="22"/>
              </w:rPr>
              <w:t xml:space="preserve">, </w:t>
            </w:r>
            <w:r w:rsidR="00B07931" w:rsidRPr="00FB4BF0">
              <w:rPr>
                <w:sz w:val="22"/>
                <w:szCs w:val="22"/>
              </w:rPr>
              <w:t>however,</w:t>
            </w:r>
            <w:r w:rsidRPr="00FB4BF0">
              <w:rPr>
                <w:sz w:val="22"/>
                <w:szCs w:val="22"/>
              </w:rPr>
              <w:t xml:space="preserve"> local birds are most likely habituated to background noise from maintenance of the existing Tarbert HFO Power Station, and construction that is currently taking place within the TEG site.</w:t>
            </w:r>
          </w:p>
          <w:p w14:paraId="6C307D0D" w14:textId="390E4602" w:rsidR="00DE3833" w:rsidRPr="00FB4BF0" w:rsidRDefault="00DE3833" w:rsidP="00C6208E">
            <w:pPr>
              <w:pStyle w:val="ListParagraph"/>
              <w:numPr>
                <w:ilvl w:val="0"/>
                <w:numId w:val="62"/>
              </w:numPr>
              <w:spacing w:after="0" w:line="240" w:lineRule="auto"/>
              <w:jc w:val="both"/>
              <w:rPr>
                <w:sz w:val="22"/>
                <w:szCs w:val="22"/>
              </w:rPr>
            </w:pPr>
            <w:r w:rsidRPr="00FB4BF0">
              <w:rPr>
                <w:sz w:val="22"/>
                <w:szCs w:val="22"/>
              </w:rPr>
              <w:t xml:space="preserve">Operational noise will be less than 55dB in all areas of the site where SCI birds were recorded. </w:t>
            </w:r>
          </w:p>
          <w:p w14:paraId="28360CCF" w14:textId="69EFADF3" w:rsidR="00DE3833" w:rsidRPr="00FB4BF0" w:rsidRDefault="00DE3833" w:rsidP="00C6208E">
            <w:pPr>
              <w:pStyle w:val="ListParagraph"/>
              <w:numPr>
                <w:ilvl w:val="0"/>
                <w:numId w:val="62"/>
              </w:numPr>
              <w:spacing w:after="0" w:line="240" w:lineRule="auto"/>
              <w:jc w:val="both"/>
              <w:rPr>
                <w:sz w:val="22"/>
                <w:szCs w:val="22"/>
              </w:rPr>
            </w:pPr>
            <w:r w:rsidRPr="00FB4BF0">
              <w:rPr>
                <w:sz w:val="22"/>
                <w:szCs w:val="22"/>
              </w:rPr>
              <w:t xml:space="preserve">Therefore, I consider that significant effects due to </w:t>
            </w:r>
            <w:r w:rsidR="004B09AF" w:rsidRPr="00FB4BF0">
              <w:rPr>
                <w:sz w:val="22"/>
                <w:szCs w:val="22"/>
              </w:rPr>
              <w:t xml:space="preserve">construction and operation </w:t>
            </w:r>
            <w:r w:rsidRPr="00FB4BF0">
              <w:rPr>
                <w:sz w:val="22"/>
                <w:szCs w:val="22"/>
              </w:rPr>
              <w:t xml:space="preserve">noise on SCI birds are not </w:t>
            </w:r>
            <w:r w:rsidR="00651942" w:rsidRPr="00FB4BF0">
              <w:rPr>
                <w:sz w:val="22"/>
                <w:szCs w:val="22"/>
              </w:rPr>
              <w:t>likely</w:t>
            </w:r>
            <w:r w:rsidRPr="00FB4BF0">
              <w:rPr>
                <w:sz w:val="22"/>
                <w:szCs w:val="22"/>
              </w:rPr>
              <w:t>.</w:t>
            </w:r>
          </w:p>
          <w:p w14:paraId="16C3E1A7" w14:textId="63E73200" w:rsidR="001E5C5F" w:rsidRPr="00FB4BF0" w:rsidRDefault="00B92360" w:rsidP="00C6208E">
            <w:pPr>
              <w:pStyle w:val="ListParagraph"/>
              <w:numPr>
                <w:ilvl w:val="0"/>
                <w:numId w:val="62"/>
              </w:numPr>
              <w:spacing w:after="0" w:line="240" w:lineRule="auto"/>
              <w:jc w:val="both"/>
              <w:rPr>
                <w:sz w:val="22"/>
                <w:szCs w:val="22"/>
              </w:rPr>
            </w:pPr>
            <w:r w:rsidRPr="00FB4BF0">
              <w:rPr>
                <w:b/>
                <w:bCs/>
                <w:sz w:val="22"/>
                <w:szCs w:val="22"/>
              </w:rPr>
              <w:lastRenderedPageBreak/>
              <w:t xml:space="preserve">Vibration </w:t>
            </w:r>
            <w:r w:rsidRPr="00FB4BF0">
              <w:rPr>
                <w:sz w:val="22"/>
                <w:szCs w:val="22"/>
              </w:rPr>
              <w:t xml:space="preserve">- </w:t>
            </w:r>
            <w:r w:rsidR="00D24CBB" w:rsidRPr="00FB4BF0">
              <w:rPr>
                <w:sz w:val="22"/>
                <w:szCs w:val="22"/>
              </w:rPr>
              <w:t xml:space="preserve">Negative </w:t>
            </w:r>
            <w:r w:rsidR="00441431" w:rsidRPr="00FB4BF0">
              <w:rPr>
                <w:sz w:val="22"/>
                <w:szCs w:val="22"/>
              </w:rPr>
              <w:t xml:space="preserve">Impacts from vibration have </w:t>
            </w:r>
            <w:r w:rsidR="00D24CBB" w:rsidRPr="00FB4BF0">
              <w:rPr>
                <w:sz w:val="22"/>
                <w:szCs w:val="22"/>
              </w:rPr>
              <w:t>been scoped out due to the distance between vibration sources and locations of significant concentrations of SCI birds.</w:t>
            </w:r>
          </w:p>
          <w:p w14:paraId="653B78FE" w14:textId="246F4320" w:rsidR="00A05137" w:rsidRPr="00FB4BF0" w:rsidRDefault="00B92360" w:rsidP="00C6208E">
            <w:pPr>
              <w:pStyle w:val="ListParagraph"/>
              <w:numPr>
                <w:ilvl w:val="0"/>
                <w:numId w:val="62"/>
              </w:numPr>
              <w:spacing w:after="0" w:line="240" w:lineRule="auto"/>
              <w:jc w:val="both"/>
              <w:rPr>
                <w:sz w:val="22"/>
                <w:szCs w:val="22"/>
              </w:rPr>
            </w:pPr>
            <w:r w:rsidRPr="00FB4BF0">
              <w:rPr>
                <w:b/>
                <w:bCs/>
                <w:sz w:val="22"/>
                <w:szCs w:val="22"/>
              </w:rPr>
              <w:t>Visual Disturbance</w:t>
            </w:r>
            <w:r w:rsidRPr="00FB4BF0">
              <w:rPr>
                <w:sz w:val="22"/>
                <w:szCs w:val="22"/>
              </w:rPr>
              <w:t xml:space="preserve"> - </w:t>
            </w:r>
            <w:r w:rsidR="007F33D5" w:rsidRPr="00FB4BF0">
              <w:rPr>
                <w:sz w:val="22"/>
                <w:szCs w:val="22"/>
              </w:rPr>
              <w:t>In terms of visual disturbance of bird</w:t>
            </w:r>
            <w:r w:rsidR="00A300B5" w:rsidRPr="00FB4BF0">
              <w:rPr>
                <w:sz w:val="22"/>
                <w:szCs w:val="22"/>
              </w:rPr>
              <w:t xml:space="preserve"> species, the applicants NIS is Table 5.4 outlines the recommended Buffer zones for the SPA.</w:t>
            </w:r>
            <w:r w:rsidR="005D3714" w:rsidRPr="00FB4BF0">
              <w:rPr>
                <w:sz w:val="22"/>
                <w:szCs w:val="22"/>
              </w:rPr>
              <w:t xml:space="preserve">  </w:t>
            </w:r>
            <w:r w:rsidR="00C73B61" w:rsidRPr="00FB4BF0">
              <w:rPr>
                <w:sz w:val="22"/>
                <w:szCs w:val="22"/>
              </w:rPr>
              <w:t xml:space="preserve">I am satisfied that due to the separation distances </w:t>
            </w:r>
            <w:r w:rsidR="00370853" w:rsidRPr="00FB4BF0">
              <w:rPr>
                <w:sz w:val="22"/>
                <w:szCs w:val="22"/>
              </w:rPr>
              <w:t>between the site and the bird species and the screening provided by the existing</w:t>
            </w:r>
            <w:r w:rsidR="0022067E" w:rsidRPr="00FB4BF0">
              <w:rPr>
                <w:sz w:val="22"/>
                <w:szCs w:val="22"/>
              </w:rPr>
              <w:t xml:space="preserve">, </w:t>
            </w:r>
            <w:r w:rsidR="00C73B61" w:rsidRPr="00FB4BF0">
              <w:rPr>
                <w:sz w:val="22"/>
                <w:szCs w:val="22"/>
              </w:rPr>
              <w:t>topography</w:t>
            </w:r>
            <w:r w:rsidR="0022067E" w:rsidRPr="00FB4BF0">
              <w:rPr>
                <w:sz w:val="22"/>
                <w:szCs w:val="22"/>
              </w:rPr>
              <w:t>, vegetation and buildings</w:t>
            </w:r>
            <w:r w:rsidR="00C73B61" w:rsidRPr="00FB4BF0">
              <w:rPr>
                <w:sz w:val="22"/>
                <w:szCs w:val="22"/>
              </w:rPr>
              <w:t xml:space="preserve"> </w:t>
            </w:r>
            <w:r w:rsidR="0022067E" w:rsidRPr="00FB4BF0">
              <w:rPr>
                <w:sz w:val="22"/>
                <w:szCs w:val="22"/>
              </w:rPr>
              <w:t xml:space="preserve">significant </w:t>
            </w:r>
            <w:r w:rsidR="00A05137" w:rsidRPr="00FB4BF0">
              <w:rPr>
                <w:sz w:val="22"/>
                <w:szCs w:val="22"/>
              </w:rPr>
              <w:t>visual disturbance of birds is unlikely during construction and decommissioning.</w:t>
            </w:r>
          </w:p>
          <w:p w14:paraId="7C15EB4E" w14:textId="273A6D56" w:rsidR="007F33D5" w:rsidRPr="00FB4BF0" w:rsidRDefault="004D41A6" w:rsidP="00C6208E">
            <w:pPr>
              <w:pStyle w:val="ListParagraph"/>
              <w:numPr>
                <w:ilvl w:val="0"/>
                <w:numId w:val="62"/>
              </w:numPr>
              <w:spacing w:after="0" w:line="240" w:lineRule="auto"/>
              <w:jc w:val="both"/>
              <w:rPr>
                <w:sz w:val="22"/>
                <w:szCs w:val="22"/>
              </w:rPr>
            </w:pPr>
            <w:r w:rsidRPr="00FB4BF0">
              <w:rPr>
                <w:sz w:val="22"/>
                <w:szCs w:val="22"/>
              </w:rPr>
              <w:t>During the operational phase, the presence of personnel and vehicles will be much reduced when compared to construction / decommissioning</w:t>
            </w:r>
            <w:r w:rsidR="009950A1" w:rsidRPr="00FB4BF0">
              <w:rPr>
                <w:sz w:val="22"/>
                <w:szCs w:val="22"/>
              </w:rPr>
              <w:t>.  Movement and personnel will be screening</w:t>
            </w:r>
            <w:r w:rsidR="00392789" w:rsidRPr="00FB4BF0">
              <w:rPr>
                <w:sz w:val="22"/>
                <w:szCs w:val="22"/>
              </w:rPr>
              <w:t xml:space="preserve"> by the new building</w:t>
            </w:r>
            <w:r w:rsidRPr="00FB4BF0">
              <w:rPr>
                <w:sz w:val="22"/>
                <w:szCs w:val="22"/>
              </w:rPr>
              <w:t>, and thus there are unlikely to be any disturbance effects on bird SCI.</w:t>
            </w:r>
          </w:p>
          <w:p w14:paraId="3C96375E" w14:textId="118BF111" w:rsidR="00DE3833" w:rsidRPr="00FB4BF0" w:rsidRDefault="00811EDD" w:rsidP="00C6208E">
            <w:pPr>
              <w:pStyle w:val="ListParagraph"/>
              <w:numPr>
                <w:ilvl w:val="0"/>
                <w:numId w:val="62"/>
              </w:numPr>
              <w:spacing w:after="0" w:line="240" w:lineRule="auto"/>
              <w:jc w:val="both"/>
              <w:rPr>
                <w:sz w:val="22"/>
                <w:szCs w:val="22"/>
              </w:rPr>
            </w:pPr>
            <w:r>
              <w:rPr>
                <w:b/>
                <w:bCs/>
                <w:sz w:val="22"/>
                <w:szCs w:val="22"/>
              </w:rPr>
              <w:t xml:space="preserve">Visual Disturbance from </w:t>
            </w:r>
            <w:r w:rsidR="00B92360" w:rsidRPr="00FB4BF0">
              <w:rPr>
                <w:b/>
                <w:bCs/>
                <w:sz w:val="22"/>
                <w:szCs w:val="22"/>
              </w:rPr>
              <w:t>Lighting</w:t>
            </w:r>
            <w:r w:rsidR="00B92360" w:rsidRPr="00FB4BF0">
              <w:rPr>
                <w:sz w:val="22"/>
                <w:szCs w:val="22"/>
              </w:rPr>
              <w:t xml:space="preserve"> - </w:t>
            </w:r>
            <w:r w:rsidR="00656566" w:rsidRPr="00FB4BF0">
              <w:rPr>
                <w:sz w:val="22"/>
                <w:szCs w:val="22"/>
              </w:rPr>
              <w:t xml:space="preserve">The Site is already illuminated throughout the night.  The closest areas of coastline to the main development area, to the north and north-east of the Site, have the lowest screening from the construction works area, but also recorded very few SCI birds – only 12 black-headed </w:t>
            </w:r>
            <w:proofErr w:type="gramStart"/>
            <w:r w:rsidR="00656566" w:rsidRPr="00FB4BF0">
              <w:rPr>
                <w:sz w:val="22"/>
                <w:szCs w:val="22"/>
              </w:rPr>
              <w:t>gull</w:t>
            </w:r>
            <w:proofErr w:type="gramEnd"/>
            <w:r w:rsidR="00656566" w:rsidRPr="00FB4BF0">
              <w:rPr>
                <w:sz w:val="22"/>
                <w:szCs w:val="22"/>
              </w:rPr>
              <w:t>. Therefore, any illumination of these areas is unlikely to adversely impact foraging or roosting birds, given that these areas are not well used by birds and there is abundant alternative habitat in the vicinity which will not be impacted by illumination.</w:t>
            </w:r>
            <w:r w:rsidR="00A14872" w:rsidRPr="00FB4BF0">
              <w:rPr>
                <w:sz w:val="22"/>
                <w:szCs w:val="22"/>
              </w:rPr>
              <w:t xml:space="preserve">  I am satisfied that lighting </w:t>
            </w:r>
            <w:r w:rsidR="00A6343B" w:rsidRPr="00FB4BF0">
              <w:rPr>
                <w:sz w:val="22"/>
                <w:szCs w:val="22"/>
              </w:rPr>
              <w:t>will not have a significant negative impact on SCI birds.</w:t>
            </w:r>
          </w:p>
          <w:p w14:paraId="409D6277" w14:textId="3E045280" w:rsidR="00432029" w:rsidRPr="00FB4BF0" w:rsidRDefault="00630338" w:rsidP="00C6208E">
            <w:pPr>
              <w:pStyle w:val="NormalWeb"/>
              <w:numPr>
                <w:ilvl w:val="0"/>
                <w:numId w:val="62"/>
              </w:numPr>
              <w:shd w:val="clear" w:color="auto" w:fill="FFFFFF"/>
              <w:spacing w:before="0" w:beforeAutospacing="0" w:after="180" w:afterAutospacing="0"/>
              <w:jc w:val="both"/>
              <w:rPr>
                <w:rFonts w:ascii="Arial" w:hAnsi="Arial" w:cs="Arial"/>
                <w:color w:val="000000"/>
                <w:sz w:val="22"/>
                <w:szCs w:val="22"/>
              </w:rPr>
            </w:pPr>
            <w:r w:rsidRPr="00FB4BF0">
              <w:rPr>
                <w:rFonts w:ascii="Arial" w:hAnsi="Arial" w:cs="Arial"/>
                <w:b/>
                <w:bCs/>
                <w:sz w:val="22"/>
                <w:szCs w:val="22"/>
              </w:rPr>
              <w:t xml:space="preserve">To conclude, I consider that </w:t>
            </w:r>
            <w:r w:rsidR="00CF168A" w:rsidRPr="00FB4BF0">
              <w:rPr>
                <w:rFonts w:ascii="Arial" w:hAnsi="Arial" w:cs="Arial"/>
                <w:b/>
                <w:bCs/>
                <w:sz w:val="22"/>
                <w:szCs w:val="22"/>
              </w:rPr>
              <w:t>there will be no significant</w:t>
            </w:r>
            <w:r w:rsidR="00AD7685">
              <w:rPr>
                <w:rFonts w:ascii="Arial" w:hAnsi="Arial" w:cs="Arial"/>
                <w:b/>
                <w:bCs/>
                <w:sz w:val="22"/>
                <w:szCs w:val="22"/>
              </w:rPr>
              <w:t xml:space="preserve"> adverse</w:t>
            </w:r>
            <w:r w:rsidR="00CF168A" w:rsidRPr="00FB4BF0">
              <w:rPr>
                <w:rFonts w:ascii="Arial" w:hAnsi="Arial" w:cs="Arial"/>
                <w:b/>
                <w:bCs/>
                <w:sz w:val="22"/>
                <w:szCs w:val="22"/>
              </w:rPr>
              <w:t xml:space="preserve"> </w:t>
            </w:r>
            <w:r w:rsidR="00C962F0" w:rsidRPr="00FB4BF0">
              <w:rPr>
                <w:rFonts w:ascii="Arial" w:hAnsi="Arial" w:cs="Arial"/>
                <w:b/>
                <w:bCs/>
                <w:sz w:val="22"/>
                <w:szCs w:val="22"/>
              </w:rPr>
              <w:t>impact</w:t>
            </w:r>
            <w:r w:rsidR="00CF168A" w:rsidRPr="00FB4BF0">
              <w:rPr>
                <w:rFonts w:ascii="Arial" w:hAnsi="Arial" w:cs="Arial"/>
                <w:b/>
                <w:bCs/>
                <w:sz w:val="22"/>
                <w:szCs w:val="22"/>
              </w:rPr>
              <w:t xml:space="preserve"> from noise, vibration, visual </w:t>
            </w:r>
            <w:proofErr w:type="gramStart"/>
            <w:r w:rsidR="00CF168A" w:rsidRPr="00FB4BF0">
              <w:rPr>
                <w:rFonts w:ascii="Arial" w:hAnsi="Arial" w:cs="Arial"/>
                <w:b/>
                <w:bCs/>
                <w:sz w:val="22"/>
                <w:szCs w:val="22"/>
              </w:rPr>
              <w:t>disturbance</w:t>
            </w:r>
            <w:proofErr w:type="gramEnd"/>
            <w:r w:rsidR="00CF168A" w:rsidRPr="00FB4BF0">
              <w:rPr>
                <w:rFonts w:ascii="Arial" w:hAnsi="Arial" w:cs="Arial"/>
                <w:b/>
                <w:bCs/>
                <w:sz w:val="22"/>
                <w:szCs w:val="22"/>
              </w:rPr>
              <w:t xml:space="preserve"> and lighting </w:t>
            </w:r>
            <w:r w:rsidR="00593A5A" w:rsidRPr="00FB4BF0">
              <w:rPr>
                <w:rFonts w:ascii="Arial" w:hAnsi="Arial" w:cs="Arial"/>
                <w:b/>
                <w:bCs/>
                <w:sz w:val="22"/>
                <w:szCs w:val="22"/>
              </w:rPr>
              <w:t xml:space="preserve">on SCI birds of River Shannan and River Fergus Estuaries SPA during the construction, operation or decommissioning of the Proposed Development.  </w:t>
            </w:r>
          </w:p>
          <w:p w14:paraId="4B264A94" w14:textId="5720E55E" w:rsidR="005250C0" w:rsidRPr="00FB4BF0" w:rsidRDefault="00593A5A" w:rsidP="00C6208E">
            <w:pPr>
              <w:pStyle w:val="NormalWeb"/>
              <w:numPr>
                <w:ilvl w:val="0"/>
                <w:numId w:val="62"/>
              </w:numPr>
              <w:shd w:val="clear" w:color="auto" w:fill="FFFFFF"/>
              <w:spacing w:before="0" w:beforeAutospacing="0" w:after="180" w:afterAutospacing="0"/>
              <w:jc w:val="both"/>
              <w:rPr>
                <w:rFonts w:ascii="Arial" w:hAnsi="Arial" w:cs="Arial"/>
                <w:color w:val="000000"/>
                <w:sz w:val="22"/>
                <w:szCs w:val="22"/>
              </w:rPr>
            </w:pPr>
            <w:r w:rsidRPr="00FB4BF0">
              <w:rPr>
                <w:rFonts w:ascii="Arial" w:hAnsi="Arial" w:cs="Arial"/>
                <w:b/>
                <w:bCs/>
                <w:sz w:val="22"/>
                <w:szCs w:val="22"/>
              </w:rPr>
              <w:t xml:space="preserve">I Consider that </w:t>
            </w:r>
            <w:r w:rsidR="00DE3833" w:rsidRPr="00FB4BF0">
              <w:rPr>
                <w:rFonts w:ascii="Arial" w:hAnsi="Arial" w:cs="Arial"/>
                <w:b/>
                <w:bCs/>
                <w:sz w:val="22"/>
                <w:szCs w:val="22"/>
              </w:rPr>
              <w:t xml:space="preserve">Mitigation </w:t>
            </w:r>
            <w:r w:rsidR="002B0787" w:rsidRPr="00FB4BF0">
              <w:rPr>
                <w:rFonts w:ascii="Arial" w:hAnsi="Arial" w:cs="Arial"/>
                <w:b/>
                <w:bCs/>
                <w:sz w:val="22"/>
                <w:szCs w:val="22"/>
              </w:rPr>
              <w:t xml:space="preserve">is </w:t>
            </w:r>
            <w:r w:rsidR="00DE3833" w:rsidRPr="00FB4BF0">
              <w:rPr>
                <w:rFonts w:ascii="Arial" w:hAnsi="Arial" w:cs="Arial"/>
                <w:b/>
                <w:bCs/>
                <w:sz w:val="22"/>
                <w:szCs w:val="22"/>
              </w:rPr>
              <w:t>Not Required</w:t>
            </w:r>
          </w:p>
        </w:tc>
      </w:tr>
      <w:tr w:rsidR="005048F9" w:rsidRPr="00303C9E" w14:paraId="5148A7D4" w14:textId="77777777" w:rsidTr="00B8439B">
        <w:tc>
          <w:tcPr>
            <w:tcW w:w="9016" w:type="dxa"/>
            <w:gridSpan w:val="2"/>
            <w:shd w:val="clear" w:color="auto" w:fill="D9D9D9" w:themeFill="background1" w:themeFillShade="D9"/>
          </w:tcPr>
          <w:p w14:paraId="76E2938B" w14:textId="63D1464B" w:rsidR="005048F9" w:rsidRPr="00303C9E" w:rsidRDefault="005048F9" w:rsidP="005048F9">
            <w:pPr>
              <w:jc w:val="both"/>
              <w:rPr>
                <w:rFonts w:ascii="Arial" w:hAnsi="Arial" w:cs="Arial"/>
                <w:b/>
                <w:bCs/>
                <w:lang w:val="en-US"/>
              </w:rPr>
            </w:pPr>
            <w:r>
              <w:rPr>
                <w:rFonts w:ascii="Arial" w:hAnsi="Arial" w:cs="Arial"/>
                <w:b/>
                <w:bCs/>
                <w:lang w:val="en-US"/>
              </w:rPr>
              <w:lastRenderedPageBreak/>
              <w:t xml:space="preserve">AA Summary Matrix for the </w:t>
            </w:r>
            <w:r w:rsidRPr="00303C9E">
              <w:rPr>
                <w:rFonts w:ascii="Arial" w:hAnsi="Arial" w:cs="Arial"/>
                <w:b/>
                <w:bCs/>
              </w:rPr>
              <w:t>Lower River Shannon SAC (002165)</w:t>
            </w:r>
          </w:p>
          <w:p w14:paraId="472AD560" w14:textId="77777777" w:rsidR="005048F9" w:rsidRPr="00303C9E" w:rsidRDefault="005048F9" w:rsidP="005048F9">
            <w:pPr>
              <w:pStyle w:val="NoSpacing"/>
              <w:rPr>
                <w:rFonts w:ascii="Arial" w:hAnsi="Arial" w:cs="Arial"/>
                <w:b/>
                <w:bCs/>
              </w:rPr>
            </w:pPr>
          </w:p>
        </w:tc>
      </w:tr>
      <w:tr w:rsidR="005048F9" w:rsidRPr="00303C9E" w14:paraId="38F30F45" w14:textId="77777777" w:rsidTr="00CD4384">
        <w:tc>
          <w:tcPr>
            <w:tcW w:w="9016" w:type="dxa"/>
            <w:gridSpan w:val="2"/>
            <w:shd w:val="clear" w:color="auto" w:fill="E2EFD9" w:themeFill="accent6" w:themeFillTint="33"/>
          </w:tcPr>
          <w:p w14:paraId="2B91B0C7" w14:textId="77777777" w:rsidR="005048F9" w:rsidRPr="00303C9E" w:rsidRDefault="005048F9" w:rsidP="005048F9">
            <w:pPr>
              <w:pStyle w:val="NoSpacing"/>
              <w:rPr>
                <w:rFonts w:ascii="Arial" w:hAnsi="Arial" w:cs="Arial"/>
              </w:rPr>
            </w:pPr>
            <w:r w:rsidRPr="00303C9E">
              <w:rPr>
                <w:rFonts w:ascii="Arial" w:hAnsi="Arial" w:cs="Arial"/>
                <w:b/>
                <w:bCs/>
              </w:rPr>
              <w:t>Lower River Shannon SAC (002165) – Located Directly Adjacent to Site</w:t>
            </w:r>
          </w:p>
          <w:p w14:paraId="560AE377" w14:textId="77777777" w:rsidR="005048F9" w:rsidRDefault="005048F9" w:rsidP="005048F9">
            <w:pPr>
              <w:jc w:val="both"/>
              <w:rPr>
                <w:rFonts w:ascii="Arial" w:hAnsi="Arial" w:cs="Arial"/>
                <w:lang w:val="en-US"/>
              </w:rPr>
            </w:pPr>
          </w:p>
          <w:p w14:paraId="5F62C494" w14:textId="773A9381" w:rsidR="005048F9" w:rsidRDefault="005048F9" w:rsidP="005048F9">
            <w:pPr>
              <w:jc w:val="both"/>
              <w:rPr>
                <w:rFonts w:ascii="Arial" w:hAnsi="Arial" w:cs="Arial"/>
                <w:lang w:val="en-US"/>
              </w:rPr>
            </w:pPr>
            <w:r w:rsidRPr="00D82327">
              <w:rPr>
                <w:rFonts w:ascii="Arial" w:hAnsi="Arial" w:cs="Arial"/>
                <w:b/>
                <w:bCs/>
                <w:lang w:val="en-US"/>
              </w:rPr>
              <w:t>Description of Site:</w:t>
            </w:r>
            <w:r>
              <w:rPr>
                <w:rFonts w:ascii="Arial" w:hAnsi="Arial" w:cs="Arial"/>
                <w:lang w:val="en-US"/>
              </w:rPr>
              <w:t xml:space="preserve">  </w:t>
            </w:r>
            <w:r w:rsidRPr="0000645A">
              <w:rPr>
                <w:rFonts w:ascii="Arial" w:hAnsi="Arial" w:cs="Arial"/>
                <w:lang w:val="en-US"/>
              </w:rPr>
              <w:t>The SAC is designated for a range of Annex I habitats, mostly marine or coastal in nature, and seven Annex II species, all of which are aquatic except for otter which is terrestrial but relies on freshwater or coastal habitats.  Otter, bottlenose dolphin, Atlantic Salmon and three species of lamprey are likely to be present within the Shannon Estuary immediately north of the site. No evidence of otter was evident on the site.</w:t>
            </w:r>
          </w:p>
          <w:p w14:paraId="5B5EF34D" w14:textId="77777777" w:rsidR="005048F9" w:rsidRDefault="005048F9" w:rsidP="005048F9">
            <w:pPr>
              <w:jc w:val="both"/>
              <w:rPr>
                <w:rFonts w:ascii="Arial" w:hAnsi="Arial" w:cs="Arial"/>
                <w:lang w:val="en-US"/>
              </w:rPr>
            </w:pPr>
          </w:p>
          <w:p w14:paraId="5B0C2B47" w14:textId="77777777" w:rsidR="004C0019" w:rsidRDefault="005048F9" w:rsidP="005048F9">
            <w:pPr>
              <w:jc w:val="both"/>
              <w:rPr>
                <w:rFonts w:ascii="Arial" w:hAnsi="Arial" w:cs="Arial"/>
                <w:b/>
                <w:bCs/>
                <w:lang w:val="en-US"/>
              </w:rPr>
            </w:pPr>
            <w:r w:rsidRPr="00FC5B31">
              <w:rPr>
                <w:rFonts w:ascii="Arial" w:hAnsi="Arial" w:cs="Arial"/>
                <w:b/>
                <w:bCs/>
                <w:lang w:val="en-US"/>
              </w:rPr>
              <w:t>Conservation Objectives:</w:t>
            </w:r>
            <w:r w:rsidR="00CF5B3F">
              <w:rPr>
                <w:rFonts w:ascii="Arial" w:hAnsi="Arial" w:cs="Arial"/>
                <w:b/>
                <w:bCs/>
                <w:lang w:val="en-US"/>
              </w:rPr>
              <w:t xml:space="preserve"> </w:t>
            </w:r>
          </w:p>
          <w:p w14:paraId="36433883" w14:textId="45664870" w:rsidR="005048F9" w:rsidRDefault="00CF5B3F" w:rsidP="005048F9">
            <w:pPr>
              <w:jc w:val="both"/>
              <w:rPr>
                <w:rFonts w:ascii="Arial" w:hAnsi="Arial" w:cs="Arial"/>
                <w:lang w:val="en-US"/>
              </w:rPr>
            </w:pPr>
            <w:r>
              <w:rPr>
                <w:rFonts w:ascii="Arial" w:hAnsi="Arial" w:cs="Arial"/>
                <w:lang w:val="en-US"/>
              </w:rPr>
              <w:t>To maintain the favourable conservation status of</w:t>
            </w:r>
            <w:r w:rsidR="004C0019">
              <w:rPr>
                <w:rFonts w:ascii="Arial" w:hAnsi="Arial" w:cs="Arial"/>
                <w:lang w:val="en-US"/>
              </w:rPr>
              <w:t xml:space="preserve"> </w:t>
            </w:r>
            <w:r>
              <w:rPr>
                <w:rFonts w:ascii="Arial" w:hAnsi="Arial" w:cs="Arial"/>
                <w:lang w:val="en-US"/>
              </w:rPr>
              <w:t>Sandbanks slightly covered by sea water</w:t>
            </w:r>
            <w:r w:rsidR="00812061">
              <w:rPr>
                <w:rFonts w:ascii="Arial" w:hAnsi="Arial" w:cs="Arial"/>
                <w:lang w:val="en-US"/>
              </w:rPr>
              <w:t xml:space="preserve"> at low tide</w:t>
            </w:r>
            <w:r w:rsidR="004C0019">
              <w:rPr>
                <w:rFonts w:ascii="Arial" w:hAnsi="Arial" w:cs="Arial"/>
                <w:lang w:val="en-US"/>
              </w:rPr>
              <w:t xml:space="preserve">, </w:t>
            </w:r>
            <w:r w:rsidR="00053DEF">
              <w:rPr>
                <w:rFonts w:ascii="Arial" w:hAnsi="Arial" w:cs="Arial"/>
                <w:lang w:val="en-US"/>
              </w:rPr>
              <w:t xml:space="preserve">Mudflats and sandflats not covered by seawater at low tide. Large shallow inlets and bays, reefs, perennial vegetation of stony banks, </w:t>
            </w:r>
            <w:r w:rsidR="008356CE">
              <w:rPr>
                <w:rFonts w:ascii="Arial" w:hAnsi="Arial" w:cs="Arial"/>
                <w:lang w:val="en-US"/>
              </w:rPr>
              <w:t>Vegetated Sea</w:t>
            </w:r>
            <w:r w:rsidR="00CD3237">
              <w:rPr>
                <w:rFonts w:ascii="Arial" w:hAnsi="Arial" w:cs="Arial"/>
                <w:lang w:val="en-US"/>
              </w:rPr>
              <w:t xml:space="preserve"> </w:t>
            </w:r>
            <w:r w:rsidR="00053DEF">
              <w:rPr>
                <w:rFonts w:ascii="Arial" w:hAnsi="Arial" w:cs="Arial"/>
                <w:lang w:val="en-US"/>
              </w:rPr>
              <w:t>cliffs of Atlantic and Baltic Coasts</w:t>
            </w:r>
            <w:r w:rsidR="003B4A71">
              <w:rPr>
                <w:rFonts w:ascii="Arial" w:hAnsi="Arial" w:cs="Arial"/>
                <w:lang w:val="en-US"/>
              </w:rPr>
              <w:t xml:space="preserve">, Salicornia and annuals colonizing mud &amp; sand, </w:t>
            </w:r>
            <w:r w:rsidR="00740E36">
              <w:rPr>
                <w:rFonts w:ascii="Arial" w:hAnsi="Arial" w:cs="Arial"/>
                <w:lang w:val="en-US"/>
              </w:rPr>
              <w:t>Atlantic salt meadows</w:t>
            </w:r>
            <w:r w:rsidR="00770BC4">
              <w:rPr>
                <w:rFonts w:ascii="Arial" w:hAnsi="Arial" w:cs="Arial"/>
                <w:lang w:val="en-US"/>
              </w:rPr>
              <w:t xml:space="preserve">, Water courses of plain to montane levels, Molinia meadows on calcareous, </w:t>
            </w:r>
            <w:proofErr w:type="gramStart"/>
            <w:r w:rsidR="00770BC4">
              <w:rPr>
                <w:rFonts w:ascii="Arial" w:hAnsi="Arial" w:cs="Arial"/>
                <w:lang w:val="en-US"/>
              </w:rPr>
              <w:t>peaty</w:t>
            </w:r>
            <w:proofErr w:type="gramEnd"/>
            <w:r w:rsidR="00770BC4">
              <w:rPr>
                <w:rFonts w:ascii="Arial" w:hAnsi="Arial" w:cs="Arial"/>
                <w:lang w:val="en-US"/>
              </w:rPr>
              <w:t xml:space="preserve"> or clayey silt laden soil, Alluvial forests, </w:t>
            </w:r>
            <w:r w:rsidR="00A20BF4">
              <w:rPr>
                <w:rFonts w:ascii="Arial" w:hAnsi="Arial" w:cs="Arial"/>
                <w:lang w:val="en-US"/>
              </w:rPr>
              <w:t xml:space="preserve">Brook Lamprey, River Lamprey, Bottlenose Dolphin and </w:t>
            </w:r>
            <w:r w:rsidR="00770BC4">
              <w:rPr>
                <w:rFonts w:ascii="Arial" w:hAnsi="Arial" w:cs="Arial"/>
                <w:lang w:val="en-US"/>
              </w:rPr>
              <w:t>Estuaries</w:t>
            </w:r>
            <w:r w:rsidR="00A20BF4">
              <w:rPr>
                <w:rFonts w:ascii="Arial" w:hAnsi="Arial" w:cs="Arial"/>
                <w:lang w:val="en-US"/>
              </w:rPr>
              <w:t>.</w:t>
            </w:r>
            <w:r w:rsidR="00D747B6">
              <w:rPr>
                <w:rFonts w:ascii="Arial" w:hAnsi="Arial" w:cs="Arial"/>
                <w:lang w:val="en-US"/>
              </w:rPr>
              <w:t xml:space="preserve"> </w:t>
            </w:r>
            <w:r w:rsidR="00D747B6" w:rsidRPr="00D747B6">
              <w:rPr>
                <w:rFonts w:ascii="Arial" w:hAnsi="Arial" w:cs="Arial"/>
                <w:b/>
                <w:bCs/>
                <w:lang w:val="en-US"/>
              </w:rPr>
              <w:t>(M</w:t>
            </w:r>
            <w:r w:rsidR="00D747B6">
              <w:rPr>
                <w:rFonts w:ascii="Arial" w:hAnsi="Arial" w:cs="Arial"/>
                <w:lang w:val="en-US"/>
              </w:rPr>
              <w:t>)</w:t>
            </w:r>
          </w:p>
          <w:p w14:paraId="4BF266D0" w14:textId="77777777" w:rsidR="004C0019" w:rsidRDefault="004C0019" w:rsidP="005048F9">
            <w:pPr>
              <w:jc w:val="both"/>
              <w:rPr>
                <w:rFonts w:ascii="Arial" w:hAnsi="Arial" w:cs="Arial"/>
                <w:lang w:val="en-US"/>
              </w:rPr>
            </w:pPr>
          </w:p>
          <w:p w14:paraId="32579D7D" w14:textId="6773352D" w:rsidR="004C0019" w:rsidRPr="00CF5B3F" w:rsidRDefault="004C0019" w:rsidP="005048F9">
            <w:pPr>
              <w:jc w:val="both"/>
              <w:rPr>
                <w:rFonts w:ascii="Arial" w:hAnsi="Arial" w:cs="Arial"/>
                <w:lang w:val="en-US"/>
              </w:rPr>
            </w:pPr>
            <w:r>
              <w:rPr>
                <w:rFonts w:ascii="Arial" w:hAnsi="Arial" w:cs="Arial"/>
                <w:lang w:val="en-US"/>
              </w:rPr>
              <w:t>To restore the favourable conservation stat</w:t>
            </w:r>
            <w:r w:rsidR="00740E36">
              <w:rPr>
                <w:rFonts w:ascii="Arial" w:hAnsi="Arial" w:cs="Arial"/>
                <w:lang w:val="en-US"/>
              </w:rPr>
              <w:t>u</w:t>
            </w:r>
            <w:r>
              <w:rPr>
                <w:rFonts w:ascii="Arial" w:hAnsi="Arial" w:cs="Arial"/>
                <w:lang w:val="en-US"/>
              </w:rPr>
              <w:t>s of Coastal Lagoons</w:t>
            </w:r>
            <w:r w:rsidR="009D7A28">
              <w:rPr>
                <w:rFonts w:ascii="Arial" w:hAnsi="Arial" w:cs="Arial"/>
                <w:lang w:val="en-US"/>
              </w:rPr>
              <w:t xml:space="preserve">, Freshwater Pearl Mussel, Sea Lamprey </w:t>
            </w:r>
            <w:r w:rsidR="00B118B6">
              <w:rPr>
                <w:rFonts w:ascii="Arial" w:hAnsi="Arial" w:cs="Arial"/>
                <w:lang w:val="en-US"/>
              </w:rPr>
              <w:t xml:space="preserve">Atlantic </w:t>
            </w:r>
            <w:proofErr w:type="gramStart"/>
            <w:r w:rsidR="00B118B6">
              <w:rPr>
                <w:rFonts w:ascii="Arial" w:hAnsi="Arial" w:cs="Arial"/>
                <w:lang w:val="en-US"/>
              </w:rPr>
              <w:t>Salmon</w:t>
            </w:r>
            <w:proofErr w:type="gramEnd"/>
            <w:r w:rsidR="00B118B6">
              <w:rPr>
                <w:rFonts w:ascii="Arial" w:hAnsi="Arial" w:cs="Arial"/>
                <w:lang w:val="en-US"/>
              </w:rPr>
              <w:t xml:space="preserve"> </w:t>
            </w:r>
            <w:r w:rsidR="009D7A28">
              <w:rPr>
                <w:rFonts w:ascii="Arial" w:hAnsi="Arial" w:cs="Arial"/>
                <w:lang w:val="en-US"/>
              </w:rPr>
              <w:t>and Otter.</w:t>
            </w:r>
            <w:r w:rsidR="00D747B6">
              <w:rPr>
                <w:rFonts w:ascii="Arial" w:hAnsi="Arial" w:cs="Arial"/>
                <w:lang w:val="en-US"/>
              </w:rPr>
              <w:t xml:space="preserve"> </w:t>
            </w:r>
            <w:r w:rsidR="00D747B6" w:rsidRPr="00D747B6">
              <w:rPr>
                <w:rFonts w:ascii="Arial" w:hAnsi="Arial" w:cs="Arial"/>
                <w:b/>
                <w:bCs/>
                <w:lang w:val="en-US"/>
              </w:rPr>
              <w:t>(R)</w:t>
            </w:r>
          </w:p>
          <w:p w14:paraId="6B1C54EE" w14:textId="77777777" w:rsidR="005048F9" w:rsidRPr="00303C9E" w:rsidRDefault="005048F9" w:rsidP="005048F9">
            <w:pPr>
              <w:jc w:val="both"/>
              <w:rPr>
                <w:rFonts w:ascii="Arial" w:hAnsi="Arial" w:cs="Arial"/>
              </w:rPr>
            </w:pPr>
          </w:p>
        </w:tc>
      </w:tr>
      <w:tr w:rsidR="005048F9" w:rsidRPr="00303C9E" w14:paraId="186402D4" w14:textId="77777777" w:rsidTr="00CD4384">
        <w:tc>
          <w:tcPr>
            <w:tcW w:w="9016" w:type="dxa"/>
            <w:gridSpan w:val="2"/>
            <w:shd w:val="clear" w:color="auto" w:fill="D9D9D9" w:themeFill="background1" w:themeFillShade="D9"/>
          </w:tcPr>
          <w:p w14:paraId="32844BFD" w14:textId="06E15164" w:rsidR="005048F9" w:rsidRPr="00982910" w:rsidRDefault="005048F9" w:rsidP="005048F9">
            <w:pPr>
              <w:jc w:val="center"/>
              <w:rPr>
                <w:rFonts w:ascii="Arial" w:hAnsi="Arial" w:cs="Arial"/>
                <w:b/>
                <w:bCs/>
                <w:lang w:val="en-US"/>
              </w:rPr>
            </w:pPr>
            <w:r w:rsidRPr="00982910">
              <w:rPr>
                <w:rFonts w:ascii="Arial" w:hAnsi="Arial" w:cs="Arial"/>
                <w:b/>
                <w:bCs/>
                <w:lang w:val="en-US"/>
              </w:rPr>
              <w:t>Summary of Appropriate Assessment</w:t>
            </w:r>
          </w:p>
        </w:tc>
      </w:tr>
      <w:tr w:rsidR="001F012A" w:rsidRPr="00303C9E" w14:paraId="13D8EB4C" w14:textId="581C4831" w:rsidTr="005A5574">
        <w:trPr>
          <w:trHeight w:val="457"/>
        </w:trPr>
        <w:tc>
          <w:tcPr>
            <w:tcW w:w="4390" w:type="dxa"/>
            <w:shd w:val="clear" w:color="auto" w:fill="D9D9D9" w:themeFill="background1" w:themeFillShade="D9"/>
          </w:tcPr>
          <w:p w14:paraId="00E95E72" w14:textId="62AA289E" w:rsidR="001F012A" w:rsidRPr="00982910" w:rsidRDefault="001F012A" w:rsidP="00253F5E">
            <w:pPr>
              <w:jc w:val="center"/>
              <w:rPr>
                <w:rFonts w:ascii="Arial" w:hAnsi="Arial" w:cs="Arial"/>
                <w:b/>
                <w:bCs/>
                <w:lang w:val="en-US"/>
              </w:rPr>
            </w:pPr>
            <w:r w:rsidRPr="00982910">
              <w:rPr>
                <w:rFonts w:ascii="Arial" w:hAnsi="Arial" w:cs="Arial"/>
                <w:b/>
                <w:bCs/>
              </w:rPr>
              <w:t xml:space="preserve">Qualifying Interest Feature </w:t>
            </w:r>
          </w:p>
        </w:tc>
        <w:tc>
          <w:tcPr>
            <w:tcW w:w="4626" w:type="dxa"/>
            <w:shd w:val="clear" w:color="auto" w:fill="D9D9D9" w:themeFill="background1" w:themeFillShade="D9"/>
          </w:tcPr>
          <w:p w14:paraId="500A5B83" w14:textId="394D3290" w:rsidR="001F012A" w:rsidRPr="00982910" w:rsidRDefault="00173466" w:rsidP="008356CE">
            <w:pPr>
              <w:jc w:val="center"/>
              <w:rPr>
                <w:rFonts w:ascii="Arial" w:hAnsi="Arial" w:cs="Arial"/>
                <w:b/>
                <w:bCs/>
                <w:lang w:val="en-US"/>
              </w:rPr>
            </w:pPr>
            <w:r>
              <w:rPr>
                <w:rFonts w:ascii="Arial" w:hAnsi="Arial" w:cs="Arial"/>
                <w:b/>
                <w:bCs/>
              </w:rPr>
              <w:t>Attribute/</w:t>
            </w:r>
            <w:r w:rsidR="001F012A" w:rsidRPr="00982910">
              <w:rPr>
                <w:rFonts w:ascii="Arial" w:hAnsi="Arial" w:cs="Arial"/>
                <w:b/>
                <w:bCs/>
              </w:rPr>
              <w:t>Targets (Summary)</w:t>
            </w:r>
          </w:p>
        </w:tc>
      </w:tr>
      <w:tr w:rsidR="00D326A6" w:rsidRPr="00303C9E" w14:paraId="7AC53B94" w14:textId="77777777" w:rsidTr="005A5574">
        <w:tc>
          <w:tcPr>
            <w:tcW w:w="4390" w:type="dxa"/>
          </w:tcPr>
          <w:p w14:paraId="55C1C33F" w14:textId="5E552C19" w:rsidR="00D326A6" w:rsidRPr="00441653" w:rsidRDefault="00D326A6" w:rsidP="008B49C3">
            <w:pPr>
              <w:jc w:val="both"/>
              <w:rPr>
                <w:rFonts w:ascii="Arial" w:hAnsi="Arial" w:cs="Arial"/>
              </w:rPr>
            </w:pPr>
            <w:r w:rsidRPr="00441653">
              <w:rPr>
                <w:rFonts w:ascii="Arial" w:hAnsi="Arial" w:cs="Arial"/>
              </w:rPr>
              <w:t xml:space="preserve">Sea Lamprey Petromyzon marinus (1095) </w:t>
            </w:r>
            <w:r w:rsidRPr="002E4A09">
              <w:rPr>
                <w:rFonts w:ascii="Arial" w:hAnsi="Arial" w:cs="Arial"/>
                <w:b/>
                <w:bCs/>
              </w:rPr>
              <w:t>R</w:t>
            </w:r>
          </w:p>
        </w:tc>
        <w:tc>
          <w:tcPr>
            <w:tcW w:w="4626" w:type="dxa"/>
          </w:tcPr>
          <w:p w14:paraId="5DBF2D30" w14:textId="77777777" w:rsidR="000678AD" w:rsidRDefault="006349F0" w:rsidP="008B49C3">
            <w:pPr>
              <w:jc w:val="both"/>
              <w:rPr>
                <w:rFonts w:ascii="Arial" w:hAnsi="Arial" w:cs="Arial"/>
              </w:rPr>
            </w:pPr>
            <w:r>
              <w:rPr>
                <w:rFonts w:ascii="Arial" w:hAnsi="Arial" w:cs="Arial"/>
              </w:rPr>
              <w:t>Distribution – Greater than 75% of main stem length of rivers accessible from estuary</w:t>
            </w:r>
          </w:p>
          <w:p w14:paraId="621AB492" w14:textId="77777777" w:rsidR="003E246A" w:rsidRDefault="003E246A" w:rsidP="008B49C3">
            <w:pPr>
              <w:jc w:val="both"/>
              <w:rPr>
                <w:rFonts w:ascii="Arial" w:hAnsi="Arial" w:cs="Arial"/>
              </w:rPr>
            </w:pPr>
            <w:r>
              <w:rPr>
                <w:rFonts w:ascii="Arial" w:hAnsi="Arial" w:cs="Arial"/>
              </w:rPr>
              <w:lastRenderedPageBreak/>
              <w:t xml:space="preserve">Population – At least three age/size groups </w:t>
            </w:r>
            <w:proofErr w:type="gramStart"/>
            <w:r>
              <w:rPr>
                <w:rFonts w:ascii="Arial" w:hAnsi="Arial" w:cs="Arial"/>
              </w:rPr>
              <w:t>present</w:t>
            </w:r>
            <w:proofErr w:type="gramEnd"/>
          </w:p>
          <w:p w14:paraId="6AF87B94" w14:textId="60F4316D" w:rsidR="003E246A" w:rsidRDefault="003E246A" w:rsidP="008B49C3">
            <w:pPr>
              <w:jc w:val="both"/>
              <w:rPr>
                <w:rFonts w:ascii="Arial" w:hAnsi="Arial" w:cs="Arial"/>
              </w:rPr>
            </w:pPr>
            <w:r>
              <w:rPr>
                <w:rFonts w:ascii="Arial" w:hAnsi="Arial" w:cs="Arial"/>
              </w:rPr>
              <w:t>Juveni</w:t>
            </w:r>
            <w:r w:rsidR="008200D7">
              <w:rPr>
                <w:rFonts w:ascii="Arial" w:hAnsi="Arial" w:cs="Arial"/>
              </w:rPr>
              <w:t>le Density – at least 1/m2</w:t>
            </w:r>
          </w:p>
          <w:p w14:paraId="45648F23" w14:textId="6632B605" w:rsidR="008200D7" w:rsidRDefault="008200D7" w:rsidP="008B49C3">
            <w:pPr>
              <w:jc w:val="both"/>
              <w:rPr>
                <w:rFonts w:ascii="Arial" w:hAnsi="Arial" w:cs="Arial"/>
              </w:rPr>
            </w:pPr>
            <w:r>
              <w:rPr>
                <w:rFonts w:ascii="Arial" w:hAnsi="Arial" w:cs="Arial"/>
              </w:rPr>
              <w:t xml:space="preserve">Extent of </w:t>
            </w:r>
            <w:r w:rsidR="009558CF">
              <w:rPr>
                <w:rFonts w:ascii="Arial" w:hAnsi="Arial" w:cs="Arial"/>
              </w:rPr>
              <w:t>Disributiono s spawning habitat – No decline in extent and distribution of spawning beds</w:t>
            </w:r>
          </w:p>
          <w:p w14:paraId="23DD45A3" w14:textId="38F65293" w:rsidR="008200D7" w:rsidRPr="00303C9E" w:rsidRDefault="009558CF" w:rsidP="008B49C3">
            <w:pPr>
              <w:jc w:val="both"/>
              <w:rPr>
                <w:rFonts w:ascii="Arial" w:hAnsi="Arial" w:cs="Arial"/>
              </w:rPr>
            </w:pPr>
            <w:r>
              <w:rPr>
                <w:rFonts w:ascii="Arial" w:hAnsi="Arial" w:cs="Arial"/>
              </w:rPr>
              <w:t xml:space="preserve">Availability of juvenile habitat – More than 50% </w:t>
            </w:r>
            <w:r w:rsidR="00652CAA">
              <w:rPr>
                <w:rFonts w:ascii="Arial" w:hAnsi="Arial" w:cs="Arial"/>
              </w:rPr>
              <w:t>of sample sites positive</w:t>
            </w:r>
          </w:p>
        </w:tc>
      </w:tr>
      <w:tr w:rsidR="00A428BD" w:rsidRPr="00303C9E" w14:paraId="5767A733" w14:textId="77777777" w:rsidTr="005A5574">
        <w:trPr>
          <w:trHeight w:val="1458"/>
        </w:trPr>
        <w:tc>
          <w:tcPr>
            <w:tcW w:w="4390" w:type="dxa"/>
          </w:tcPr>
          <w:p w14:paraId="72D70251" w14:textId="2BF88313" w:rsidR="00A428BD" w:rsidRPr="00441653" w:rsidRDefault="00A428BD" w:rsidP="008B49C3">
            <w:pPr>
              <w:jc w:val="both"/>
              <w:rPr>
                <w:rFonts w:ascii="Arial" w:hAnsi="Arial" w:cs="Arial"/>
              </w:rPr>
            </w:pPr>
            <w:r w:rsidRPr="00441653">
              <w:rPr>
                <w:rFonts w:ascii="Arial" w:hAnsi="Arial" w:cs="Arial"/>
              </w:rPr>
              <w:lastRenderedPageBreak/>
              <w:t>Brook Lamprey Lampetra planeri (1096)</w:t>
            </w:r>
            <w:r w:rsidRPr="002E4A09">
              <w:rPr>
                <w:rFonts w:ascii="Arial" w:hAnsi="Arial" w:cs="Arial"/>
                <w:b/>
                <w:bCs/>
              </w:rPr>
              <w:t xml:space="preserve"> M</w:t>
            </w:r>
          </w:p>
        </w:tc>
        <w:tc>
          <w:tcPr>
            <w:tcW w:w="4626" w:type="dxa"/>
            <w:vMerge w:val="restart"/>
          </w:tcPr>
          <w:p w14:paraId="0FA24A41" w14:textId="77777777" w:rsidR="00A428BD" w:rsidRDefault="00A428BD" w:rsidP="00B41D20">
            <w:pPr>
              <w:jc w:val="both"/>
              <w:rPr>
                <w:rFonts w:ascii="Arial" w:hAnsi="Arial" w:cs="Arial"/>
              </w:rPr>
            </w:pPr>
            <w:r>
              <w:rPr>
                <w:rFonts w:ascii="Arial" w:hAnsi="Arial" w:cs="Arial"/>
              </w:rPr>
              <w:t>Distribution – Access to all water courses down to first order streams,</w:t>
            </w:r>
          </w:p>
          <w:p w14:paraId="6007514A" w14:textId="77777777" w:rsidR="00A428BD" w:rsidRDefault="00A428BD" w:rsidP="00B41D20">
            <w:pPr>
              <w:jc w:val="both"/>
              <w:rPr>
                <w:rFonts w:ascii="Arial" w:hAnsi="Arial" w:cs="Arial"/>
              </w:rPr>
            </w:pPr>
            <w:r>
              <w:rPr>
                <w:rFonts w:ascii="Arial" w:hAnsi="Arial" w:cs="Arial"/>
              </w:rPr>
              <w:t>Population – At least three age/size groups of river/brook lamprey present</w:t>
            </w:r>
          </w:p>
          <w:p w14:paraId="13C66E22" w14:textId="77777777" w:rsidR="00A428BD" w:rsidRDefault="00A428BD" w:rsidP="00B41D20">
            <w:pPr>
              <w:jc w:val="both"/>
              <w:rPr>
                <w:rFonts w:ascii="Arial" w:hAnsi="Arial" w:cs="Arial"/>
              </w:rPr>
            </w:pPr>
            <w:r>
              <w:rPr>
                <w:rFonts w:ascii="Arial" w:hAnsi="Arial" w:cs="Arial"/>
              </w:rPr>
              <w:t xml:space="preserve">Mean catchment juvenile density of river/brook lamprey at least 2/m2, </w:t>
            </w:r>
          </w:p>
          <w:p w14:paraId="3E7BD78F" w14:textId="77777777" w:rsidR="00A428BD" w:rsidRDefault="00A428BD" w:rsidP="00B41D20">
            <w:pPr>
              <w:jc w:val="both"/>
              <w:rPr>
                <w:rFonts w:ascii="Arial" w:hAnsi="Arial" w:cs="Arial"/>
              </w:rPr>
            </w:pPr>
            <w:r>
              <w:rPr>
                <w:rFonts w:ascii="Arial" w:hAnsi="Arial" w:cs="Arial"/>
              </w:rPr>
              <w:t>Extent – No decline in extent and distribution of spawning beds</w:t>
            </w:r>
          </w:p>
          <w:p w14:paraId="1427D6C9" w14:textId="131385BE" w:rsidR="00A428BD" w:rsidRPr="00303C9E" w:rsidRDefault="00A428BD" w:rsidP="00B41D20">
            <w:pPr>
              <w:jc w:val="both"/>
              <w:rPr>
                <w:rFonts w:ascii="Arial" w:hAnsi="Arial" w:cs="Arial"/>
              </w:rPr>
            </w:pPr>
            <w:r>
              <w:rPr>
                <w:rFonts w:ascii="Arial" w:hAnsi="Arial" w:cs="Arial"/>
              </w:rPr>
              <w:t>Availability of Juvenile habitat – More than 50% of sample sites positive</w:t>
            </w:r>
          </w:p>
        </w:tc>
      </w:tr>
      <w:tr w:rsidR="00A428BD" w:rsidRPr="001B0DE1" w14:paraId="6913E486" w14:textId="77777777" w:rsidTr="005A5574">
        <w:tc>
          <w:tcPr>
            <w:tcW w:w="4390" w:type="dxa"/>
          </w:tcPr>
          <w:p w14:paraId="36C34830" w14:textId="6DFF6312" w:rsidR="00A428BD" w:rsidRPr="007A1066" w:rsidRDefault="00A428BD" w:rsidP="008B49C3">
            <w:pPr>
              <w:jc w:val="both"/>
              <w:rPr>
                <w:rFonts w:ascii="Arial" w:hAnsi="Arial" w:cs="Arial"/>
                <w:lang w:val="it-IT"/>
              </w:rPr>
            </w:pPr>
            <w:r w:rsidRPr="007A1066">
              <w:rPr>
                <w:rFonts w:ascii="Arial" w:hAnsi="Arial" w:cs="Arial"/>
                <w:lang w:val="it-IT"/>
              </w:rPr>
              <w:t>River Lamprey Lampetra fluviatilis (1099)</w:t>
            </w:r>
            <w:r w:rsidRPr="007A1066">
              <w:rPr>
                <w:rFonts w:ascii="Arial" w:hAnsi="Arial" w:cs="Arial"/>
                <w:b/>
                <w:bCs/>
                <w:lang w:val="it-IT"/>
              </w:rPr>
              <w:t xml:space="preserve"> M</w:t>
            </w:r>
          </w:p>
        </w:tc>
        <w:tc>
          <w:tcPr>
            <w:tcW w:w="4626" w:type="dxa"/>
            <w:vMerge/>
          </w:tcPr>
          <w:p w14:paraId="4DE1C373" w14:textId="77777777" w:rsidR="00A428BD" w:rsidRPr="007A1066" w:rsidRDefault="00A428BD" w:rsidP="00B41D20">
            <w:pPr>
              <w:jc w:val="both"/>
              <w:rPr>
                <w:rFonts w:ascii="Arial" w:hAnsi="Arial" w:cs="Arial"/>
                <w:lang w:val="it-IT"/>
              </w:rPr>
            </w:pPr>
          </w:p>
        </w:tc>
      </w:tr>
      <w:tr w:rsidR="00D326A6" w:rsidRPr="00303C9E" w14:paraId="1E261D52" w14:textId="77777777" w:rsidTr="005A5574">
        <w:tc>
          <w:tcPr>
            <w:tcW w:w="4390" w:type="dxa"/>
          </w:tcPr>
          <w:p w14:paraId="1096440D" w14:textId="2CC8AAE6" w:rsidR="00D326A6" w:rsidRPr="00441653" w:rsidRDefault="00D326A6" w:rsidP="008B49C3">
            <w:pPr>
              <w:jc w:val="both"/>
              <w:rPr>
                <w:rFonts w:ascii="Arial" w:hAnsi="Arial" w:cs="Arial"/>
              </w:rPr>
            </w:pPr>
            <w:r w:rsidRPr="00441653">
              <w:rPr>
                <w:rFonts w:ascii="Arial" w:hAnsi="Arial" w:cs="Arial"/>
              </w:rPr>
              <w:t xml:space="preserve">Atlantic Salmon (fresh water) Salmo salar (1106) </w:t>
            </w:r>
            <w:r w:rsidRPr="002E4A09">
              <w:rPr>
                <w:rFonts w:ascii="Arial" w:hAnsi="Arial" w:cs="Arial"/>
                <w:b/>
                <w:bCs/>
              </w:rPr>
              <w:t>R</w:t>
            </w:r>
          </w:p>
        </w:tc>
        <w:tc>
          <w:tcPr>
            <w:tcW w:w="4626" w:type="dxa"/>
          </w:tcPr>
          <w:p w14:paraId="432ED487" w14:textId="77777777" w:rsidR="00D326A6" w:rsidRDefault="006451A2" w:rsidP="00B41D20">
            <w:pPr>
              <w:jc w:val="both"/>
              <w:rPr>
                <w:rFonts w:ascii="Arial" w:hAnsi="Arial" w:cs="Arial"/>
              </w:rPr>
            </w:pPr>
            <w:r>
              <w:rPr>
                <w:rFonts w:ascii="Arial" w:hAnsi="Arial" w:cs="Arial"/>
              </w:rPr>
              <w:t xml:space="preserve">Distribution – 100% </w:t>
            </w:r>
            <w:r w:rsidR="00820699">
              <w:rPr>
                <w:rFonts w:ascii="Arial" w:hAnsi="Arial" w:cs="Arial"/>
              </w:rPr>
              <w:t>of river channels down to second order accessible from estuary</w:t>
            </w:r>
          </w:p>
          <w:p w14:paraId="42D1D276" w14:textId="77777777" w:rsidR="00820699" w:rsidRDefault="00820699" w:rsidP="00B41D20">
            <w:pPr>
              <w:jc w:val="both"/>
              <w:rPr>
                <w:rFonts w:ascii="Arial" w:hAnsi="Arial" w:cs="Arial"/>
              </w:rPr>
            </w:pPr>
            <w:r>
              <w:rPr>
                <w:rFonts w:ascii="Arial" w:hAnsi="Arial" w:cs="Arial"/>
              </w:rPr>
              <w:t xml:space="preserve">Adult spawning fish number – Conservation Limit for each system consistently </w:t>
            </w:r>
            <w:proofErr w:type="gramStart"/>
            <w:r>
              <w:rPr>
                <w:rFonts w:ascii="Arial" w:hAnsi="Arial" w:cs="Arial"/>
              </w:rPr>
              <w:t>exceeded</w:t>
            </w:r>
            <w:proofErr w:type="gramEnd"/>
          </w:p>
          <w:p w14:paraId="570E5F1C" w14:textId="495B61E7" w:rsidR="00820699" w:rsidRDefault="00021680" w:rsidP="00B41D20">
            <w:pPr>
              <w:jc w:val="both"/>
              <w:rPr>
                <w:rFonts w:ascii="Arial" w:hAnsi="Arial" w:cs="Arial"/>
              </w:rPr>
            </w:pPr>
            <w:r>
              <w:rPr>
                <w:rFonts w:ascii="Arial" w:hAnsi="Arial" w:cs="Arial"/>
              </w:rPr>
              <w:t>Salmon fry abundance – Maintain or exceed 0+ fry mean catchment -wide abundance threshold value. Currently set at 17 salm</w:t>
            </w:r>
            <w:r w:rsidR="00CF7DD0">
              <w:rPr>
                <w:rFonts w:ascii="Arial" w:hAnsi="Arial" w:cs="Arial"/>
              </w:rPr>
              <w:t>on</w:t>
            </w:r>
            <w:r>
              <w:rPr>
                <w:rFonts w:ascii="Arial" w:hAnsi="Arial" w:cs="Arial"/>
              </w:rPr>
              <w:t xml:space="preserve"> fry/5 min sampling</w:t>
            </w:r>
          </w:p>
          <w:p w14:paraId="236FFF11" w14:textId="77777777" w:rsidR="00475139" w:rsidRDefault="00021680" w:rsidP="00B41D20">
            <w:pPr>
              <w:jc w:val="both"/>
              <w:rPr>
                <w:rFonts w:ascii="Arial" w:hAnsi="Arial" w:cs="Arial"/>
              </w:rPr>
            </w:pPr>
            <w:r>
              <w:rPr>
                <w:rFonts w:ascii="Arial" w:hAnsi="Arial" w:cs="Arial"/>
              </w:rPr>
              <w:t>Out</w:t>
            </w:r>
            <w:r w:rsidR="00126178">
              <w:rPr>
                <w:rFonts w:ascii="Arial" w:hAnsi="Arial" w:cs="Arial"/>
              </w:rPr>
              <w:t>-migrating smolt abundance</w:t>
            </w:r>
            <w:r w:rsidR="00CF7DD0">
              <w:rPr>
                <w:rFonts w:ascii="Arial" w:hAnsi="Arial" w:cs="Arial"/>
              </w:rPr>
              <w:t xml:space="preserve"> </w:t>
            </w:r>
            <w:r w:rsidR="00475139">
              <w:rPr>
                <w:rFonts w:ascii="Arial" w:hAnsi="Arial" w:cs="Arial"/>
              </w:rPr>
              <w:t>–</w:t>
            </w:r>
            <w:r w:rsidR="00B54456">
              <w:rPr>
                <w:rFonts w:ascii="Arial" w:hAnsi="Arial" w:cs="Arial"/>
              </w:rPr>
              <w:t xml:space="preserve"> </w:t>
            </w:r>
            <w:r w:rsidR="00475139">
              <w:rPr>
                <w:rFonts w:ascii="Arial" w:hAnsi="Arial" w:cs="Arial"/>
              </w:rPr>
              <w:t>No significant decline</w:t>
            </w:r>
          </w:p>
          <w:p w14:paraId="0B4BCE56" w14:textId="77777777" w:rsidR="00021680" w:rsidRDefault="00475139" w:rsidP="00B41D20">
            <w:pPr>
              <w:jc w:val="both"/>
              <w:rPr>
                <w:rFonts w:ascii="Arial" w:hAnsi="Arial" w:cs="Arial"/>
              </w:rPr>
            </w:pPr>
            <w:r>
              <w:rPr>
                <w:rFonts w:ascii="Arial" w:hAnsi="Arial" w:cs="Arial"/>
              </w:rPr>
              <w:t>Nu</w:t>
            </w:r>
            <w:r w:rsidR="00040005">
              <w:rPr>
                <w:rFonts w:ascii="Arial" w:hAnsi="Arial" w:cs="Arial"/>
              </w:rPr>
              <w:t>m</w:t>
            </w:r>
            <w:r>
              <w:rPr>
                <w:rFonts w:ascii="Arial" w:hAnsi="Arial" w:cs="Arial"/>
              </w:rPr>
              <w:t xml:space="preserve">ber and distribution of redds – </w:t>
            </w:r>
            <w:r w:rsidR="00BD0B32">
              <w:rPr>
                <w:rFonts w:ascii="Arial" w:hAnsi="Arial" w:cs="Arial"/>
              </w:rPr>
              <w:t>N</w:t>
            </w:r>
            <w:r>
              <w:rPr>
                <w:rFonts w:ascii="Arial" w:hAnsi="Arial" w:cs="Arial"/>
              </w:rPr>
              <w:t xml:space="preserve">o decline in </w:t>
            </w:r>
            <w:proofErr w:type="gramStart"/>
            <w:r>
              <w:rPr>
                <w:rFonts w:ascii="Arial" w:hAnsi="Arial" w:cs="Arial"/>
              </w:rPr>
              <w:t>number</w:t>
            </w:r>
            <w:proofErr w:type="gramEnd"/>
            <w:r w:rsidR="00CF7DD0">
              <w:rPr>
                <w:rFonts w:ascii="Arial" w:hAnsi="Arial" w:cs="Arial"/>
              </w:rPr>
              <w:t xml:space="preserve"> </w:t>
            </w:r>
          </w:p>
          <w:p w14:paraId="4F201DDA" w14:textId="7BA89AC9" w:rsidR="00BD0B32" w:rsidRPr="00303C9E" w:rsidRDefault="00BD0B32" w:rsidP="00B41D20">
            <w:pPr>
              <w:jc w:val="both"/>
              <w:rPr>
                <w:rFonts w:ascii="Arial" w:hAnsi="Arial" w:cs="Arial"/>
              </w:rPr>
            </w:pPr>
            <w:r>
              <w:rPr>
                <w:rFonts w:ascii="Arial" w:hAnsi="Arial" w:cs="Arial"/>
              </w:rPr>
              <w:t xml:space="preserve">Water quality – At least Q4 </w:t>
            </w:r>
          </w:p>
        </w:tc>
      </w:tr>
      <w:tr w:rsidR="00D326A6" w:rsidRPr="00303C9E" w14:paraId="4CD9E84A" w14:textId="77777777" w:rsidTr="005A5574">
        <w:tc>
          <w:tcPr>
            <w:tcW w:w="4390" w:type="dxa"/>
          </w:tcPr>
          <w:p w14:paraId="69A55F07" w14:textId="272729AC" w:rsidR="00D326A6" w:rsidRPr="00441653" w:rsidRDefault="00D326A6" w:rsidP="008B49C3">
            <w:pPr>
              <w:jc w:val="both"/>
              <w:rPr>
                <w:rFonts w:ascii="Arial" w:hAnsi="Arial" w:cs="Arial"/>
              </w:rPr>
            </w:pPr>
            <w:r w:rsidRPr="00441653">
              <w:rPr>
                <w:rFonts w:ascii="Arial" w:hAnsi="Arial" w:cs="Arial"/>
              </w:rPr>
              <w:t xml:space="preserve">Bottlenose Dolphin Tursiops </w:t>
            </w:r>
            <w:proofErr w:type="spellStart"/>
            <w:r w:rsidRPr="00441653">
              <w:rPr>
                <w:rFonts w:ascii="Arial" w:hAnsi="Arial" w:cs="Arial"/>
              </w:rPr>
              <w:t>truncatus</w:t>
            </w:r>
            <w:proofErr w:type="spellEnd"/>
            <w:r w:rsidRPr="00441653">
              <w:rPr>
                <w:rFonts w:ascii="Arial" w:hAnsi="Arial" w:cs="Arial"/>
              </w:rPr>
              <w:t xml:space="preserve"> (1349) </w:t>
            </w:r>
            <w:r w:rsidRPr="002E4A09">
              <w:rPr>
                <w:rFonts w:ascii="Arial" w:hAnsi="Arial" w:cs="Arial"/>
                <w:b/>
                <w:bCs/>
              </w:rPr>
              <w:t>M</w:t>
            </w:r>
          </w:p>
        </w:tc>
        <w:tc>
          <w:tcPr>
            <w:tcW w:w="4626" w:type="dxa"/>
          </w:tcPr>
          <w:p w14:paraId="207F5BD0" w14:textId="77777777" w:rsidR="00D326A6" w:rsidRDefault="00173466" w:rsidP="00B41D20">
            <w:pPr>
              <w:jc w:val="both"/>
              <w:rPr>
                <w:rFonts w:ascii="Arial" w:hAnsi="Arial" w:cs="Arial"/>
              </w:rPr>
            </w:pPr>
            <w:r>
              <w:rPr>
                <w:rFonts w:ascii="Arial" w:hAnsi="Arial" w:cs="Arial"/>
              </w:rPr>
              <w:t xml:space="preserve">Access to suitable habitat – Species range within the site should be restricted by artificial </w:t>
            </w:r>
            <w:proofErr w:type="gramStart"/>
            <w:r>
              <w:rPr>
                <w:rFonts w:ascii="Arial" w:hAnsi="Arial" w:cs="Arial"/>
              </w:rPr>
              <w:t>barriers</w:t>
            </w:r>
            <w:proofErr w:type="gramEnd"/>
          </w:p>
          <w:p w14:paraId="4565F89C" w14:textId="77777777" w:rsidR="00173466" w:rsidRDefault="00DC4DAA" w:rsidP="00B41D20">
            <w:pPr>
              <w:jc w:val="both"/>
              <w:rPr>
                <w:rFonts w:ascii="Arial" w:hAnsi="Arial" w:cs="Arial"/>
              </w:rPr>
            </w:pPr>
            <w:r>
              <w:rPr>
                <w:rFonts w:ascii="Arial" w:hAnsi="Arial" w:cs="Arial"/>
              </w:rPr>
              <w:t xml:space="preserve">Habitat use – Critical areas should be maintained in a natural </w:t>
            </w:r>
            <w:proofErr w:type="gramStart"/>
            <w:r>
              <w:rPr>
                <w:rFonts w:ascii="Arial" w:hAnsi="Arial" w:cs="Arial"/>
              </w:rPr>
              <w:t>condition</w:t>
            </w:r>
            <w:proofErr w:type="gramEnd"/>
          </w:p>
          <w:p w14:paraId="6B26DC2F" w14:textId="5503FD74" w:rsidR="00DC4DAA" w:rsidRPr="00303C9E" w:rsidRDefault="00DC4DAA" w:rsidP="00B41D20">
            <w:pPr>
              <w:jc w:val="both"/>
              <w:rPr>
                <w:rFonts w:ascii="Arial" w:hAnsi="Arial" w:cs="Arial"/>
              </w:rPr>
            </w:pPr>
            <w:r>
              <w:rPr>
                <w:rFonts w:ascii="Arial" w:hAnsi="Arial" w:cs="Arial"/>
              </w:rPr>
              <w:t>Disturbance – Human activities should occur at levels that do not adversely affect the bottlenose dolphin population at the site</w:t>
            </w:r>
          </w:p>
        </w:tc>
      </w:tr>
      <w:tr w:rsidR="000678AD" w:rsidRPr="00303C9E" w14:paraId="6A85F6B1" w14:textId="77777777" w:rsidTr="005A5574">
        <w:trPr>
          <w:trHeight w:val="321"/>
        </w:trPr>
        <w:tc>
          <w:tcPr>
            <w:tcW w:w="4390" w:type="dxa"/>
          </w:tcPr>
          <w:p w14:paraId="4BEAFCE7" w14:textId="55300B22" w:rsidR="000678AD" w:rsidRPr="00441653" w:rsidRDefault="000678AD" w:rsidP="008B49C3">
            <w:pPr>
              <w:jc w:val="both"/>
              <w:rPr>
                <w:rFonts w:ascii="Arial" w:hAnsi="Arial" w:cs="Arial"/>
              </w:rPr>
            </w:pPr>
            <w:r w:rsidRPr="00441653">
              <w:rPr>
                <w:rFonts w:ascii="Arial" w:hAnsi="Arial" w:cs="Arial"/>
              </w:rPr>
              <w:t xml:space="preserve">Otter Lutra </w:t>
            </w:r>
            <w:proofErr w:type="spellStart"/>
            <w:r w:rsidRPr="00441653">
              <w:rPr>
                <w:rFonts w:ascii="Arial" w:hAnsi="Arial" w:cs="Arial"/>
              </w:rPr>
              <w:t>lutra</w:t>
            </w:r>
            <w:proofErr w:type="spellEnd"/>
            <w:r w:rsidRPr="00441653">
              <w:rPr>
                <w:rFonts w:ascii="Arial" w:hAnsi="Arial" w:cs="Arial"/>
              </w:rPr>
              <w:t xml:space="preserve"> (1355)</w:t>
            </w:r>
            <w:r w:rsidRPr="002E4A09">
              <w:rPr>
                <w:rFonts w:ascii="Arial" w:hAnsi="Arial" w:cs="Arial"/>
                <w:b/>
                <w:bCs/>
              </w:rPr>
              <w:t xml:space="preserve"> R</w:t>
            </w:r>
          </w:p>
        </w:tc>
        <w:tc>
          <w:tcPr>
            <w:tcW w:w="4626" w:type="dxa"/>
          </w:tcPr>
          <w:p w14:paraId="68CBF6E3" w14:textId="77777777" w:rsidR="000678AD" w:rsidRDefault="000A0FD7" w:rsidP="00B41D20">
            <w:pPr>
              <w:spacing w:after="160" w:line="259" w:lineRule="auto"/>
              <w:jc w:val="both"/>
              <w:rPr>
                <w:rFonts w:ascii="Arial" w:hAnsi="Arial" w:cs="Arial"/>
              </w:rPr>
            </w:pPr>
            <w:r>
              <w:rPr>
                <w:rFonts w:ascii="Arial" w:hAnsi="Arial" w:cs="Arial"/>
              </w:rPr>
              <w:t>Distribution – No significant decline</w:t>
            </w:r>
          </w:p>
          <w:p w14:paraId="20364650" w14:textId="44E9FB93" w:rsidR="000A0FD7" w:rsidRDefault="000A0FD7" w:rsidP="00B41D20">
            <w:pPr>
              <w:spacing w:after="160" w:line="259" w:lineRule="auto"/>
              <w:jc w:val="both"/>
              <w:rPr>
                <w:rFonts w:ascii="Arial" w:hAnsi="Arial" w:cs="Arial"/>
              </w:rPr>
            </w:pPr>
            <w:r>
              <w:rPr>
                <w:rFonts w:ascii="Arial" w:hAnsi="Arial" w:cs="Arial"/>
              </w:rPr>
              <w:t>Extent of terrestrial</w:t>
            </w:r>
            <w:r w:rsidR="00561B48">
              <w:rPr>
                <w:rFonts w:ascii="Arial" w:hAnsi="Arial" w:cs="Arial"/>
              </w:rPr>
              <w:t xml:space="preserve">, </w:t>
            </w:r>
            <w:proofErr w:type="gramStart"/>
            <w:r w:rsidR="00561B48">
              <w:rPr>
                <w:rFonts w:ascii="Arial" w:hAnsi="Arial" w:cs="Arial"/>
              </w:rPr>
              <w:t>marine</w:t>
            </w:r>
            <w:proofErr w:type="gramEnd"/>
            <w:r w:rsidR="00561B48">
              <w:rPr>
                <w:rFonts w:ascii="Arial" w:hAnsi="Arial" w:cs="Arial"/>
              </w:rPr>
              <w:t xml:space="preserve"> and freshwater (</w:t>
            </w:r>
            <w:r w:rsidR="009D788A">
              <w:rPr>
                <w:rFonts w:ascii="Arial" w:hAnsi="Arial" w:cs="Arial"/>
              </w:rPr>
              <w:t xml:space="preserve">river, lake/lagoon) </w:t>
            </w:r>
            <w:r>
              <w:rPr>
                <w:rFonts w:ascii="Arial" w:hAnsi="Arial" w:cs="Arial"/>
              </w:rPr>
              <w:t>habitat</w:t>
            </w:r>
            <w:r w:rsidR="009D788A">
              <w:rPr>
                <w:rFonts w:ascii="Arial" w:hAnsi="Arial" w:cs="Arial"/>
              </w:rPr>
              <w:t xml:space="preserve">, Couching sites and holts, Fish biomass </w:t>
            </w:r>
            <w:r w:rsidR="00B41D20">
              <w:rPr>
                <w:rFonts w:ascii="Arial" w:hAnsi="Arial" w:cs="Arial"/>
              </w:rPr>
              <w:t>available</w:t>
            </w:r>
            <w:r>
              <w:rPr>
                <w:rFonts w:ascii="Arial" w:hAnsi="Arial" w:cs="Arial"/>
              </w:rPr>
              <w:t xml:space="preserve"> - No significant decline</w:t>
            </w:r>
          </w:p>
          <w:p w14:paraId="22F9F703" w14:textId="78C1FBE8" w:rsidR="000A0FD7" w:rsidRPr="00303C9E" w:rsidRDefault="00B41D20" w:rsidP="00B41D20">
            <w:pPr>
              <w:spacing w:after="160" w:line="259" w:lineRule="auto"/>
              <w:jc w:val="both"/>
              <w:rPr>
                <w:rFonts w:ascii="Arial" w:hAnsi="Arial" w:cs="Arial"/>
              </w:rPr>
            </w:pPr>
            <w:r>
              <w:rPr>
                <w:rFonts w:ascii="Arial" w:hAnsi="Arial" w:cs="Arial"/>
              </w:rPr>
              <w:t>Barriers to connectivity – No significant increase</w:t>
            </w:r>
          </w:p>
        </w:tc>
      </w:tr>
      <w:tr w:rsidR="00155F7A" w:rsidRPr="00303C9E" w14:paraId="03BC8CA5" w14:textId="77777777" w:rsidTr="001F012A">
        <w:tc>
          <w:tcPr>
            <w:tcW w:w="9016" w:type="dxa"/>
            <w:gridSpan w:val="2"/>
            <w:shd w:val="clear" w:color="auto" w:fill="D9D9D9" w:themeFill="background1" w:themeFillShade="D9"/>
          </w:tcPr>
          <w:p w14:paraId="508E721C" w14:textId="34E3ABF7" w:rsidR="00155F7A" w:rsidRPr="00303C9E" w:rsidRDefault="00155F7A" w:rsidP="008B49C3">
            <w:pPr>
              <w:jc w:val="both"/>
              <w:rPr>
                <w:rFonts w:ascii="Arial" w:hAnsi="Arial" w:cs="Arial"/>
              </w:rPr>
            </w:pPr>
            <w:r w:rsidRPr="0040577B">
              <w:rPr>
                <w:rFonts w:ascii="Arial" w:hAnsi="Arial" w:cs="Arial"/>
                <w:b/>
                <w:bCs/>
              </w:rPr>
              <w:t>Potential for Impact/ Mitigation Measures</w:t>
            </w:r>
          </w:p>
        </w:tc>
      </w:tr>
      <w:tr w:rsidR="00155F7A" w:rsidRPr="00303C9E" w14:paraId="3CFC7294" w14:textId="77777777" w:rsidTr="00BF08BB">
        <w:tc>
          <w:tcPr>
            <w:tcW w:w="9016" w:type="dxa"/>
            <w:gridSpan w:val="2"/>
          </w:tcPr>
          <w:p w14:paraId="5327C026" w14:textId="3C7FB3DD" w:rsidR="00155F7A" w:rsidRDefault="00E95639" w:rsidP="002F5221">
            <w:pPr>
              <w:jc w:val="both"/>
              <w:rPr>
                <w:rFonts w:ascii="Arial" w:hAnsi="Arial" w:cs="Arial"/>
              </w:rPr>
            </w:pPr>
            <w:r w:rsidRPr="00E95639">
              <w:rPr>
                <w:rFonts w:ascii="Arial" w:hAnsi="Arial" w:cs="Arial"/>
              </w:rPr>
              <w:t>Construction phase noise, vibration and visual disturbance has the potential to impact Annex II QI species of the SAC.</w:t>
            </w:r>
            <w:r w:rsidR="002F5221">
              <w:rPr>
                <w:rFonts w:ascii="Arial" w:hAnsi="Arial" w:cs="Arial"/>
              </w:rPr>
              <w:t xml:space="preserve">  </w:t>
            </w:r>
            <w:r w:rsidR="002F5221" w:rsidRPr="002F5221">
              <w:rPr>
                <w:rFonts w:ascii="Arial" w:hAnsi="Arial" w:cs="Arial"/>
              </w:rPr>
              <w:t>The QI species of Lower River Shannon SAC which could be subject to disturbance are: Atlantic salmon, sea lamprey, brook lamprey, river lamprey, bottlenose dolphin and otter.</w:t>
            </w:r>
          </w:p>
          <w:p w14:paraId="3BABE064" w14:textId="77777777" w:rsidR="00155F7A" w:rsidRDefault="00155F7A" w:rsidP="008B49C3">
            <w:pPr>
              <w:jc w:val="both"/>
              <w:rPr>
                <w:rFonts w:ascii="Arial" w:hAnsi="Arial" w:cs="Arial"/>
              </w:rPr>
            </w:pPr>
          </w:p>
          <w:p w14:paraId="5F1714A6" w14:textId="2EAA4480" w:rsidR="00C2616F" w:rsidRPr="00C2616F" w:rsidRDefault="00C2616F" w:rsidP="008B49C3">
            <w:pPr>
              <w:jc w:val="both"/>
              <w:rPr>
                <w:rFonts w:ascii="Arial" w:hAnsi="Arial" w:cs="Arial"/>
                <w:b/>
                <w:bCs/>
              </w:rPr>
            </w:pPr>
            <w:r w:rsidRPr="00C2616F">
              <w:rPr>
                <w:rFonts w:ascii="Arial" w:hAnsi="Arial" w:cs="Arial"/>
                <w:b/>
                <w:bCs/>
              </w:rPr>
              <w:lastRenderedPageBreak/>
              <w:t>Aquatic QI Species</w:t>
            </w:r>
          </w:p>
          <w:p w14:paraId="613FF99D" w14:textId="7C28B42D" w:rsidR="00061324" w:rsidRDefault="00A670D3" w:rsidP="002E43CA">
            <w:pPr>
              <w:jc w:val="both"/>
              <w:rPr>
                <w:rFonts w:ascii="Arial" w:hAnsi="Arial" w:cs="Arial"/>
              </w:rPr>
            </w:pPr>
            <w:r w:rsidRPr="005C3165">
              <w:rPr>
                <w:rFonts w:ascii="Arial" w:hAnsi="Arial" w:cs="Arial"/>
                <w:b/>
                <w:bCs/>
              </w:rPr>
              <w:t>Noise Impacts</w:t>
            </w:r>
            <w:r w:rsidRPr="005C3165">
              <w:rPr>
                <w:rFonts w:ascii="Arial" w:hAnsi="Arial" w:cs="Arial"/>
              </w:rPr>
              <w:t xml:space="preserve"> - </w:t>
            </w:r>
            <w:r w:rsidR="00D04197" w:rsidRPr="005C3165">
              <w:rPr>
                <w:rFonts w:ascii="Arial" w:hAnsi="Arial" w:cs="Arial"/>
              </w:rPr>
              <w:t xml:space="preserve">The aquatic QI species (fish and bottlenose dolphin) are not considered to be vulnerable to noise which passes through air. </w:t>
            </w:r>
            <w:r w:rsidR="00061324" w:rsidRPr="005C3165">
              <w:rPr>
                <w:rFonts w:ascii="Arial" w:hAnsi="Arial" w:cs="Arial"/>
              </w:rPr>
              <w:t xml:space="preserve">  Noise from terrestrial sources does not transmit well into the water column, and therefore noise arising from construction is unlikely to impact </w:t>
            </w:r>
            <w:r w:rsidRPr="005C3165">
              <w:rPr>
                <w:rFonts w:ascii="Arial" w:hAnsi="Arial" w:cs="Arial"/>
              </w:rPr>
              <w:t xml:space="preserve">fish and </w:t>
            </w:r>
            <w:r w:rsidR="00061324" w:rsidRPr="005C3165">
              <w:rPr>
                <w:rFonts w:ascii="Arial" w:hAnsi="Arial" w:cs="Arial"/>
              </w:rPr>
              <w:t>bottlenose dolphin</w:t>
            </w:r>
            <w:r w:rsidRPr="005C3165">
              <w:rPr>
                <w:rFonts w:ascii="Arial" w:hAnsi="Arial" w:cs="Arial"/>
              </w:rPr>
              <w:t>.</w:t>
            </w:r>
            <w:r w:rsidR="00DD39A4" w:rsidRPr="005C3165">
              <w:rPr>
                <w:rFonts w:ascii="Arial" w:hAnsi="Arial" w:cs="Arial"/>
              </w:rPr>
              <w:t xml:space="preserve">  As highly mobile animals, any dolphin </w:t>
            </w:r>
            <w:r w:rsidR="005C3165" w:rsidRPr="005C3165">
              <w:rPr>
                <w:rFonts w:ascii="Arial" w:hAnsi="Arial" w:cs="Arial"/>
              </w:rPr>
              <w:t xml:space="preserve">or fish </w:t>
            </w:r>
            <w:r w:rsidR="00DD39A4" w:rsidRPr="005C3165">
              <w:rPr>
                <w:rFonts w:ascii="Arial" w:hAnsi="Arial" w:cs="Arial"/>
              </w:rPr>
              <w:t>in the vicinity can easily move away. Therefore, construction works are not anticipated to have significant effects on th</w:t>
            </w:r>
            <w:r w:rsidR="005C3165" w:rsidRPr="005C3165">
              <w:rPr>
                <w:rFonts w:ascii="Arial" w:hAnsi="Arial" w:cs="Arial"/>
              </w:rPr>
              <w:t>e</w:t>
            </w:r>
            <w:r w:rsidR="00DD39A4" w:rsidRPr="005C3165">
              <w:rPr>
                <w:rFonts w:ascii="Arial" w:hAnsi="Arial" w:cs="Arial"/>
              </w:rPr>
              <w:t>s</w:t>
            </w:r>
            <w:r w:rsidR="005C3165" w:rsidRPr="005C3165">
              <w:rPr>
                <w:rFonts w:ascii="Arial" w:hAnsi="Arial" w:cs="Arial"/>
              </w:rPr>
              <w:t>e</w:t>
            </w:r>
            <w:r w:rsidR="00DD39A4" w:rsidRPr="005C3165">
              <w:rPr>
                <w:rFonts w:ascii="Arial" w:hAnsi="Arial" w:cs="Arial"/>
              </w:rPr>
              <w:t xml:space="preserve"> species</w:t>
            </w:r>
            <w:r w:rsidR="005C3165" w:rsidRPr="005C3165">
              <w:rPr>
                <w:rFonts w:ascii="Arial" w:hAnsi="Arial" w:cs="Arial"/>
              </w:rPr>
              <w:t>.</w:t>
            </w:r>
          </w:p>
          <w:p w14:paraId="1342D341" w14:textId="6CA4382E" w:rsidR="001F234D" w:rsidRDefault="00A670D3" w:rsidP="00121594">
            <w:pPr>
              <w:jc w:val="both"/>
              <w:rPr>
                <w:rFonts w:ascii="Arial" w:hAnsi="Arial" w:cs="Arial"/>
              </w:rPr>
            </w:pPr>
            <w:r w:rsidRPr="00B2496C">
              <w:rPr>
                <w:rFonts w:ascii="Arial" w:hAnsi="Arial" w:cs="Arial"/>
                <w:b/>
                <w:bCs/>
              </w:rPr>
              <w:t xml:space="preserve">Vibration </w:t>
            </w:r>
            <w:r w:rsidR="00B2496C" w:rsidRPr="00B2496C">
              <w:rPr>
                <w:rFonts w:ascii="Arial" w:hAnsi="Arial" w:cs="Arial"/>
                <w:b/>
                <w:bCs/>
              </w:rPr>
              <w:t>Impacts</w:t>
            </w:r>
            <w:r w:rsidR="00B2496C">
              <w:rPr>
                <w:rFonts w:ascii="Arial" w:hAnsi="Arial" w:cs="Arial"/>
              </w:rPr>
              <w:t xml:space="preserve"> - </w:t>
            </w:r>
            <w:r w:rsidR="00121594" w:rsidRPr="00121594">
              <w:rPr>
                <w:rFonts w:ascii="Arial" w:hAnsi="Arial" w:cs="Arial"/>
              </w:rPr>
              <w:t>Vibrations do not propagate well through the ground and are generally attenuated quickly, typically within 20-50m from the vibration source.</w:t>
            </w:r>
            <w:r w:rsidR="00121594">
              <w:rPr>
                <w:rFonts w:ascii="Arial" w:hAnsi="Arial" w:cs="Arial"/>
              </w:rPr>
              <w:t xml:space="preserve">  </w:t>
            </w:r>
            <w:r w:rsidR="001F234D" w:rsidRPr="001F234D">
              <w:rPr>
                <w:rFonts w:ascii="Arial" w:hAnsi="Arial" w:cs="Arial"/>
              </w:rPr>
              <w:t xml:space="preserve">Vibrations from land-based piling are likely to attenuate within the Site itself but there is potential for some transmission of vibration from piling to the estuarine water </w:t>
            </w:r>
            <w:proofErr w:type="gramStart"/>
            <w:r w:rsidR="001F234D" w:rsidRPr="001F234D">
              <w:rPr>
                <w:rFonts w:ascii="Arial" w:hAnsi="Arial" w:cs="Arial"/>
              </w:rPr>
              <w:t>column</w:t>
            </w:r>
            <w:proofErr w:type="gramEnd"/>
            <w:r w:rsidR="001F234D" w:rsidRPr="001F234D">
              <w:rPr>
                <w:rFonts w:ascii="Arial" w:hAnsi="Arial" w:cs="Arial"/>
              </w:rPr>
              <w:t xml:space="preserve"> but this is expected to be minimal. Very low intensity of sound or vibration propagating into the estuary, combined with the extensive width of the estuary at this location allowing fish migration to continue away from such a small ZoI, means that significant effects on migratory QI fish are considered unlikely.</w:t>
            </w:r>
          </w:p>
          <w:p w14:paraId="0B292AD6" w14:textId="77777777" w:rsidR="005C3165" w:rsidRDefault="005C3165" w:rsidP="001F234D">
            <w:pPr>
              <w:jc w:val="both"/>
              <w:rPr>
                <w:rFonts w:ascii="Arial" w:hAnsi="Arial" w:cs="Arial"/>
              </w:rPr>
            </w:pPr>
          </w:p>
          <w:p w14:paraId="6F171452" w14:textId="64DA4B7C" w:rsidR="00576359" w:rsidRPr="008A02FA" w:rsidRDefault="005C3165" w:rsidP="00576359">
            <w:pPr>
              <w:jc w:val="both"/>
              <w:rPr>
                <w:rFonts w:ascii="Arial" w:hAnsi="Arial" w:cs="Arial"/>
                <w:b/>
                <w:bCs/>
              </w:rPr>
            </w:pPr>
            <w:r w:rsidRPr="00C2616F">
              <w:rPr>
                <w:rFonts w:ascii="Arial" w:hAnsi="Arial" w:cs="Arial"/>
                <w:b/>
                <w:bCs/>
              </w:rPr>
              <w:t xml:space="preserve">Otters </w:t>
            </w:r>
            <w:r w:rsidR="008A02FA">
              <w:rPr>
                <w:rFonts w:ascii="Arial" w:hAnsi="Arial" w:cs="Arial"/>
                <w:b/>
                <w:bCs/>
              </w:rPr>
              <w:t xml:space="preserve">- </w:t>
            </w:r>
            <w:proofErr w:type="gramStart"/>
            <w:r w:rsidR="00057D74" w:rsidRPr="00057D74">
              <w:rPr>
                <w:rFonts w:ascii="Arial" w:hAnsi="Arial" w:cs="Arial"/>
              </w:rPr>
              <w:t>Otter</w:t>
            </w:r>
            <w:r w:rsidR="00FE0EB0">
              <w:rPr>
                <w:rFonts w:ascii="Arial" w:hAnsi="Arial" w:cs="Arial"/>
              </w:rPr>
              <w:t>s</w:t>
            </w:r>
            <w:proofErr w:type="gramEnd"/>
            <w:r w:rsidR="00057D74" w:rsidRPr="00057D74">
              <w:rPr>
                <w:rFonts w:ascii="Arial" w:hAnsi="Arial" w:cs="Arial"/>
              </w:rPr>
              <w:t xml:space="preserve"> hearing is air-adapted and not specialised for detecting underwater sounds</w:t>
            </w:r>
            <w:r w:rsidR="00FE0EB0">
              <w:rPr>
                <w:rFonts w:ascii="Arial" w:hAnsi="Arial" w:cs="Arial"/>
              </w:rPr>
              <w:t>, hence no likely significant impact</w:t>
            </w:r>
            <w:r w:rsidR="009120BE">
              <w:rPr>
                <w:rFonts w:ascii="Arial" w:hAnsi="Arial" w:cs="Arial"/>
              </w:rPr>
              <w:t xml:space="preserve"> </w:t>
            </w:r>
            <w:r w:rsidR="009120BE" w:rsidRPr="00057D74">
              <w:rPr>
                <w:rFonts w:ascii="Arial" w:hAnsi="Arial" w:cs="Arial"/>
              </w:rPr>
              <w:t>by noise or vibration</w:t>
            </w:r>
            <w:r w:rsidR="00FE0EB0">
              <w:rPr>
                <w:rFonts w:ascii="Arial" w:hAnsi="Arial" w:cs="Arial"/>
              </w:rPr>
              <w:t xml:space="preserve"> is expected on</w:t>
            </w:r>
            <w:r w:rsidR="00057D74" w:rsidRPr="00057D74">
              <w:rPr>
                <w:rFonts w:ascii="Arial" w:hAnsi="Arial" w:cs="Arial"/>
              </w:rPr>
              <w:t xml:space="preserve"> otters foraging or commuting within </w:t>
            </w:r>
            <w:r w:rsidR="009120BE">
              <w:rPr>
                <w:rFonts w:ascii="Arial" w:hAnsi="Arial" w:cs="Arial"/>
              </w:rPr>
              <w:t>the area.</w:t>
            </w:r>
            <w:r w:rsidR="00576359">
              <w:rPr>
                <w:rFonts w:ascii="Arial" w:hAnsi="Arial" w:cs="Arial"/>
              </w:rPr>
              <w:t xml:space="preserve">  A</w:t>
            </w:r>
            <w:r w:rsidR="00576359" w:rsidRPr="00175421">
              <w:rPr>
                <w:rFonts w:ascii="Arial" w:hAnsi="Arial" w:cs="Arial"/>
              </w:rPr>
              <w:t xml:space="preserve"> buffer of 150 m should be applied around piling works and otter breeding holts</w:t>
            </w:r>
            <w:r w:rsidR="00576359">
              <w:rPr>
                <w:rFonts w:ascii="Arial" w:hAnsi="Arial" w:cs="Arial"/>
              </w:rPr>
              <w:t>.  No resting sites were found in the field surveys within the site.</w:t>
            </w:r>
          </w:p>
          <w:p w14:paraId="2A55BAFF" w14:textId="587D4665" w:rsidR="00057D74" w:rsidRDefault="00576359" w:rsidP="009120BE">
            <w:pPr>
              <w:jc w:val="both"/>
              <w:rPr>
                <w:rFonts w:ascii="Arial" w:hAnsi="Arial" w:cs="Arial"/>
              </w:rPr>
            </w:pPr>
            <w:r w:rsidRPr="0014038F">
              <w:rPr>
                <w:rFonts w:ascii="Arial" w:hAnsi="Arial" w:cs="Arial"/>
              </w:rPr>
              <w:t xml:space="preserve">It is </w:t>
            </w:r>
            <w:r w:rsidR="0014038F" w:rsidRPr="0014038F">
              <w:rPr>
                <w:rFonts w:ascii="Arial" w:hAnsi="Arial" w:cs="Arial"/>
              </w:rPr>
              <w:t>extremely unlikely that disturbance will be caused to any otter, and even if some minor disturbance to otter were to occur, the consequences would be negligible.</w:t>
            </w:r>
          </w:p>
          <w:p w14:paraId="316A6466" w14:textId="77777777" w:rsidR="002A12AC" w:rsidRDefault="002A12AC" w:rsidP="009120BE">
            <w:pPr>
              <w:jc w:val="both"/>
              <w:rPr>
                <w:rFonts w:ascii="Arial" w:hAnsi="Arial" w:cs="Arial"/>
              </w:rPr>
            </w:pPr>
          </w:p>
          <w:p w14:paraId="6CCE7DF2" w14:textId="7280FB6B" w:rsidR="00155F7A" w:rsidRPr="008A02FA" w:rsidRDefault="002A12AC" w:rsidP="004B1C60">
            <w:pPr>
              <w:jc w:val="both"/>
              <w:rPr>
                <w:rFonts w:ascii="Arial" w:hAnsi="Arial" w:cs="Arial"/>
                <w:b/>
                <w:bCs/>
              </w:rPr>
            </w:pPr>
            <w:r w:rsidRPr="002A12AC">
              <w:rPr>
                <w:rFonts w:ascii="Arial" w:hAnsi="Arial" w:cs="Arial"/>
                <w:b/>
                <w:bCs/>
              </w:rPr>
              <w:t xml:space="preserve">Visual disturbance </w:t>
            </w:r>
            <w:r w:rsidR="008A02FA">
              <w:rPr>
                <w:rFonts w:ascii="Arial" w:hAnsi="Arial" w:cs="Arial"/>
                <w:b/>
                <w:bCs/>
              </w:rPr>
              <w:t>–</w:t>
            </w:r>
            <w:r w:rsidRPr="002A12AC">
              <w:rPr>
                <w:rFonts w:ascii="Arial" w:hAnsi="Arial" w:cs="Arial"/>
                <w:b/>
                <w:bCs/>
              </w:rPr>
              <w:t xml:space="preserve"> Lighting</w:t>
            </w:r>
            <w:r w:rsidR="008A02FA">
              <w:rPr>
                <w:rFonts w:ascii="Arial" w:hAnsi="Arial" w:cs="Arial"/>
                <w:b/>
                <w:bCs/>
              </w:rPr>
              <w:t xml:space="preserve"> - </w:t>
            </w:r>
            <w:r w:rsidRPr="002A12AC">
              <w:rPr>
                <w:rFonts w:ascii="Arial" w:hAnsi="Arial" w:cs="Arial"/>
              </w:rPr>
              <w:t>Artificial light can interfere with the physiological function and behaviour of fish and can disrupt the spawning of migratory species</w:t>
            </w:r>
            <w:r>
              <w:rPr>
                <w:rFonts w:ascii="Arial" w:hAnsi="Arial" w:cs="Arial"/>
              </w:rPr>
              <w:t>.</w:t>
            </w:r>
            <w:r w:rsidR="009370F4">
              <w:rPr>
                <w:rFonts w:ascii="Arial" w:hAnsi="Arial" w:cs="Arial"/>
              </w:rPr>
              <w:t xml:space="preserve">  </w:t>
            </w:r>
            <w:r w:rsidR="009370F4" w:rsidRPr="009370F4">
              <w:rPr>
                <w:rFonts w:ascii="Arial" w:hAnsi="Arial" w:cs="Arial"/>
              </w:rPr>
              <w:t>Given the distance of the shoreline from the construction works area and the absence of salmon fry in the estuary (salmon require gravel beds in fast flowing streams and rivers to spawn), there are unlikely to be adverse impacts from illumination on QI fish species of the SAC.</w:t>
            </w:r>
            <w:r w:rsidR="004B1C60">
              <w:t xml:space="preserve"> </w:t>
            </w:r>
            <w:r w:rsidR="004B1C60" w:rsidRPr="004B1C60">
              <w:rPr>
                <w:rFonts w:ascii="Arial" w:hAnsi="Arial" w:cs="Arial"/>
              </w:rPr>
              <w:t>Dolphins and otters, which are both predatory animals and may therefore receive some benefit from increased illumination, are not considered to be particularly sensitive to artificial illumination of watercourses or (in the case of otter) riparian habitat.</w:t>
            </w:r>
            <w:r w:rsidR="004B1C60" w:rsidRPr="004B1C60">
              <w:rPr>
                <w:rFonts w:ascii="Arial" w:hAnsi="Arial" w:cs="Arial"/>
              </w:rPr>
              <w:cr/>
            </w:r>
          </w:p>
          <w:p w14:paraId="1278BD22" w14:textId="29967B76" w:rsidR="002A12AC" w:rsidRPr="008A02FA" w:rsidRDefault="00811EDD" w:rsidP="008A02FA">
            <w:pPr>
              <w:pStyle w:val="NormalWeb"/>
              <w:shd w:val="clear" w:color="auto" w:fill="FFFFFF"/>
              <w:spacing w:before="0" w:beforeAutospacing="0" w:after="180" w:afterAutospacing="0"/>
              <w:jc w:val="both"/>
              <w:rPr>
                <w:rFonts w:ascii="Arial" w:hAnsi="Arial" w:cs="Arial"/>
                <w:color w:val="000000"/>
                <w:sz w:val="22"/>
                <w:szCs w:val="22"/>
              </w:rPr>
            </w:pPr>
            <w:r w:rsidRPr="00FB4BF0">
              <w:rPr>
                <w:rFonts w:ascii="Arial" w:hAnsi="Arial" w:cs="Arial"/>
                <w:b/>
                <w:bCs/>
                <w:sz w:val="22"/>
                <w:szCs w:val="22"/>
              </w:rPr>
              <w:t>To conclude, I consider that there will be no significant</w:t>
            </w:r>
            <w:r w:rsidR="00AD7685">
              <w:rPr>
                <w:rFonts w:ascii="Arial" w:hAnsi="Arial" w:cs="Arial"/>
                <w:b/>
                <w:bCs/>
                <w:sz w:val="22"/>
                <w:szCs w:val="22"/>
              </w:rPr>
              <w:t xml:space="preserve"> adverse</w:t>
            </w:r>
            <w:r w:rsidRPr="00FB4BF0">
              <w:rPr>
                <w:rFonts w:ascii="Arial" w:hAnsi="Arial" w:cs="Arial"/>
                <w:b/>
                <w:bCs/>
                <w:sz w:val="22"/>
                <w:szCs w:val="22"/>
              </w:rPr>
              <w:t xml:space="preserve"> impact from noise, </w:t>
            </w:r>
            <w:proofErr w:type="gramStart"/>
            <w:r w:rsidRPr="00FB4BF0">
              <w:rPr>
                <w:rFonts w:ascii="Arial" w:hAnsi="Arial" w:cs="Arial"/>
                <w:b/>
                <w:bCs/>
                <w:sz w:val="22"/>
                <w:szCs w:val="22"/>
              </w:rPr>
              <w:t>vibration</w:t>
            </w:r>
            <w:proofErr w:type="gramEnd"/>
            <w:r w:rsidR="00DC68C4">
              <w:rPr>
                <w:rFonts w:ascii="Arial" w:hAnsi="Arial" w:cs="Arial"/>
                <w:b/>
                <w:bCs/>
                <w:sz w:val="22"/>
                <w:szCs w:val="22"/>
              </w:rPr>
              <w:t xml:space="preserve"> </w:t>
            </w:r>
            <w:r w:rsidRPr="00FB4BF0">
              <w:rPr>
                <w:rFonts w:ascii="Arial" w:hAnsi="Arial" w:cs="Arial"/>
                <w:b/>
                <w:bCs/>
                <w:sz w:val="22"/>
                <w:szCs w:val="22"/>
              </w:rPr>
              <w:t xml:space="preserve">and lighting on </w:t>
            </w:r>
            <w:r w:rsidR="00DC68C4">
              <w:rPr>
                <w:rFonts w:ascii="Arial" w:hAnsi="Arial" w:cs="Arial"/>
                <w:b/>
                <w:bCs/>
                <w:sz w:val="22"/>
                <w:szCs w:val="22"/>
              </w:rPr>
              <w:t>any QI species of Lower River Shannon SAC</w:t>
            </w:r>
            <w:r w:rsidRPr="00FB4BF0">
              <w:rPr>
                <w:rFonts w:ascii="Arial" w:hAnsi="Arial" w:cs="Arial"/>
                <w:b/>
                <w:bCs/>
                <w:sz w:val="22"/>
                <w:szCs w:val="22"/>
              </w:rPr>
              <w:t xml:space="preserve"> during the construction, operation or decommissioning of the Proposed Development.  I Consider that Mitigation is Not Required</w:t>
            </w:r>
          </w:p>
        </w:tc>
      </w:tr>
      <w:tr w:rsidR="00930D90" w:rsidRPr="00303C9E" w14:paraId="536E7740" w14:textId="77777777" w:rsidTr="005A5574">
        <w:tc>
          <w:tcPr>
            <w:tcW w:w="4390" w:type="dxa"/>
          </w:tcPr>
          <w:p w14:paraId="1613957F" w14:textId="77777777" w:rsidR="00930D90" w:rsidRPr="008A369B" w:rsidRDefault="00930D90" w:rsidP="00930D90">
            <w:pPr>
              <w:jc w:val="both"/>
              <w:rPr>
                <w:rFonts w:ascii="Arial" w:hAnsi="Arial" w:cs="Arial"/>
              </w:rPr>
            </w:pPr>
            <w:r w:rsidRPr="00441653">
              <w:rPr>
                <w:rFonts w:ascii="Arial" w:hAnsi="Arial" w:cs="Arial"/>
              </w:rPr>
              <w:lastRenderedPageBreak/>
              <w:t xml:space="preserve">Coastal lagoons (1150) </w:t>
            </w:r>
            <w:r w:rsidRPr="00F34A91">
              <w:rPr>
                <w:rFonts w:ascii="Arial" w:hAnsi="Arial" w:cs="Arial"/>
                <w:b/>
                <w:bCs/>
              </w:rPr>
              <w:t>R</w:t>
            </w:r>
          </w:p>
          <w:p w14:paraId="085ADE57" w14:textId="77777777" w:rsidR="00930D90" w:rsidRPr="00441653" w:rsidRDefault="00930D90" w:rsidP="00930D90">
            <w:pPr>
              <w:jc w:val="both"/>
              <w:rPr>
                <w:rFonts w:ascii="Arial" w:hAnsi="Arial" w:cs="Arial"/>
              </w:rPr>
            </w:pPr>
            <w:r w:rsidRPr="00441653">
              <w:rPr>
                <w:rFonts w:ascii="Arial" w:hAnsi="Arial" w:cs="Arial"/>
              </w:rPr>
              <w:t>Sandbanks slightly covered by seawater all the time (1110)</w:t>
            </w:r>
            <w:r w:rsidRPr="00F34A91">
              <w:rPr>
                <w:rFonts w:ascii="Arial" w:hAnsi="Arial" w:cs="Arial"/>
                <w:b/>
                <w:bCs/>
              </w:rPr>
              <w:t xml:space="preserve"> </w:t>
            </w:r>
            <w:proofErr w:type="gramStart"/>
            <w:r w:rsidRPr="00F34A91">
              <w:rPr>
                <w:rFonts w:ascii="Arial" w:hAnsi="Arial" w:cs="Arial"/>
                <w:b/>
                <w:bCs/>
              </w:rPr>
              <w:t>M</w:t>
            </w:r>
            <w:proofErr w:type="gramEnd"/>
          </w:p>
          <w:p w14:paraId="211061BC" w14:textId="77777777" w:rsidR="00930D90" w:rsidRPr="00441653" w:rsidRDefault="00930D90" w:rsidP="00930D90">
            <w:pPr>
              <w:jc w:val="both"/>
              <w:rPr>
                <w:rFonts w:ascii="Arial" w:hAnsi="Arial" w:cs="Arial"/>
              </w:rPr>
            </w:pPr>
            <w:r w:rsidRPr="00441653">
              <w:rPr>
                <w:rFonts w:ascii="Arial" w:hAnsi="Arial" w:cs="Arial"/>
              </w:rPr>
              <w:t>Mudflats and sandflats not covered by seawater at low tide (1140)</w:t>
            </w:r>
            <w:r w:rsidRPr="00F34A91">
              <w:rPr>
                <w:rFonts w:ascii="Arial" w:hAnsi="Arial" w:cs="Arial"/>
                <w:b/>
                <w:bCs/>
              </w:rPr>
              <w:t xml:space="preserve"> </w:t>
            </w:r>
            <w:proofErr w:type="gramStart"/>
            <w:r w:rsidRPr="00F34A91">
              <w:rPr>
                <w:rFonts w:ascii="Arial" w:hAnsi="Arial" w:cs="Arial"/>
                <w:b/>
                <w:bCs/>
              </w:rPr>
              <w:t>M</w:t>
            </w:r>
            <w:proofErr w:type="gramEnd"/>
          </w:p>
          <w:p w14:paraId="0C8230A2" w14:textId="77777777" w:rsidR="00930D90" w:rsidRPr="00441653" w:rsidRDefault="00930D90" w:rsidP="00930D90">
            <w:pPr>
              <w:jc w:val="both"/>
              <w:rPr>
                <w:rFonts w:ascii="Arial" w:hAnsi="Arial" w:cs="Arial"/>
              </w:rPr>
            </w:pPr>
            <w:r w:rsidRPr="00441653">
              <w:rPr>
                <w:rFonts w:ascii="Arial" w:hAnsi="Arial" w:cs="Arial"/>
              </w:rPr>
              <w:t xml:space="preserve">Large shallow inlets and bays (1160) </w:t>
            </w:r>
            <w:r w:rsidRPr="002E4A09">
              <w:rPr>
                <w:rFonts w:ascii="Arial" w:hAnsi="Arial" w:cs="Arial"/>
                <w:b/>
                <w:bCs/>
              </w:rPr>
              <w:t>M</w:t>
            </w:r>
          </w:p>
          <w:p w14:paraId="79906754" w14:textId="77777777" w:rsidR="00930D90" w:rsidRPr="00441653" w:rsidRDefault="00930D90" w:rsidP="00930D90">
            <w:pPr>
              <w:jc w:val="both"/>
              <w:rPr>
                <w:rFonts w:ascii="Arial" w:hAnsi="Arial" w:cs="Arial"/>
              </w:rPr>
            </w:pPr>
            <w:r w:rsidRPr="00441653">
              <w:rPr>
                <w:rFonts w:ascii="Arial" w:hAnsi="Arial" w:cs="Arial"/>
              </w:rPr>
              <w:t>Reefs (1170)</w:t>
            </w:r>
            <w:r w:rsidRPr="002E4A09">
              <w:rPr>
                <w:rFonts w:ascii="Arial" w:hAnsi="Arial" w:cs="Arial"/>
                <w:b/>
                <w:bCs/>
              </w:rPr>
              <w:t xml:space="preserve"> M</w:t>
            </w:r>
          </w:p>
          <w:p w14:paraId="33D8EF5D" w14:textId="77777777" w:rsidR="00930D90" w:rsidRPr="00441653" w:rsidRDefault="00930D90" w:rsidP="00930D90">
            <w:pPr>
              <w:jc w:val="both"/>
              <w:rPr>
                <w:rFonts w:ascii="Arial" w:hAnsi="Arial" w:cs="Arial"/>
              </w:rPr>
            </w:pPr>
            <w:r w:rsidRPr="00441653">
              <w:rPr>
                <w:rFonts w:ascii="Arial" w:hAnsi="Arial" w:cs="Arial"/>
              </w:rPr>
              <w:t xml:space="preserve">Perennial vegetation of stony banks (1220) </w:t>
            </w:r>
            <w:r w:rsidRPr="002E4A09">
              <w:rPr>
                <w:rFonts w:ascii="Arial" w:hAnsi="Arial" w:cs="Arial"/>
                <w:b/>
                <w:bCs/>
              </w:rPr>
              <w:t>M</w:t>
            </w:r>
          </w:p>
          <w:p w14:paraId="2463815A" w14:textId="77777777" w:rsidR="00930D90" w:rsidRPr="00441653" w:rsidRDefault="00930D90" w:rsidP="00930D90">
            <w:pPr>
              <w:jc w:val="both"/>
              <w:rPr>
                <w:rFonts w:ascii="Arial" w:hAnsi="Arial" w:cs="Arial"/>
              </w:rPr>
            </w:pPr>
            <w:r w:rsidRPr="00441653">
              <w:rPr>
                <w:rFonts w:ascii="Arial" w:hAnsi="Arial" w:cs="Arial"/>
              </w:rPr>
              <w:t xml:space="preserve">Vegetated sea cliffs of Atlantic and Baltic Coasts (1230) </w:t>
            </w:r>
            <w:r w:rsidRPr="002E4A09">
              <w:rPr>
                <w:rFonts w:ascii="Arial" w:hAnsi="Arial" w:cs="Arial"/>
                <w:b/>
                <w:bCs/>
              </w:rPr>
              <w:t>M</w:t>
            </w:r>
          </w:p>
          <w:p w14:paraId="186626E0" w14:textId="77777777" w:rsidR="00930D90" w:rsidRPr="00441653" w:rsidRDefault="00930D90" w:rsidP="00930D90">
            <w:pPr>
              <w:jc w:val="both"/>
              <w:rPr>
                <w:rFonts w:ascii="Arial" w:hAnsi="Arial" w:cs="Arial"/>
              </w:rPr>
            </w:pPr>
            <w:r w:rsidRPr="00441653">
              <w:rPr>
                <w:rFonts w:ascii="Arial" w:hAnsi="Arial" w:cs="Arial"/>
              </w:rPr>
              <w:t xml:space="preserve">Salicornia and annuals colonising mud &amp; sand (1310) </w:t>
            </w:r>
            <w:proofErr w:type="gramStart"/>
            <w:r w:rsidRPr="002E4A09">
              <w:rPr>
                <w:rFonts w:ascii="Arial" w:hAnsi="Arial" w:cs="Arial"/>
                <w:b/>
                <w:bCs/>
              </w:rPr>
              <w:t>M</w:t>
            </w:r>
            <w:proofErr w:type="gramEnd"/>
          </w:p>
          <w:p w14:paraId="21EE164D" w14:textId="77777777" w:rsidR="00930D90" w:rsidRPr="00441653" w:rsidRDefault="00930D90" w:rsidP="00930D90">
            <w:pPr>
              <w:jc w:val="both"/>
              <w:rPr>
                <w:rFonts w:ascii="Arial" w:hAnsi="Arial" w:cs="Arial"/>
              </w:rPr>
            </w:pPr>
            <w:r w:rsidRPr="00441653">
              <w:rPr>
                <w:rFonts w:ascii="Arial" w:hAnsi="Arial" w:cs="Arial"/>
              </w:rPr>
              <w:t xml:space="preserve">Atlantic salt meadows (1330) </w:t>
            </w:r>
            <w:r w:rsidRPr="002E4A09">
              <w:rPr>
                <w:rFonts w:ascii="Arial" w:hAnsi="Arial" w:cs="Arial"/>
                <w:b/>
                <w:bCs/>
              </w:rPr>
              <w:t>R</w:t>
            </w:r>
          </w:p>
          <w:p w14:paraId="45DA40EB" w14:textId="77777777" w:rsidR="00930D90" w:rsidRPr="00441653" w:rsidRDefault="00930D90" w:rsidP="00930D90">
            <w:pPr>
              <w:jc w:val="both"/>
              <w:rPr>
                <w:rFonts w:ascii="Arial" w:hAnsi="Arial" w:cs="Arial"/>
              </w:rPr>
            </w:pPr>
            <w:r w:rsidRPr="00441653">
              <w:rPr>
                <w:rFonts w:ascii="Arial" w:hAnsi="Arial" w:cs="Arial"/>
              </w:rPr>
              <w:t xml:space="preserve">Mediterranean salt meadows (1410) </w:t>
            </w:r>
            <w:r w:rsidRPr="002E4A09">
              <w:rPr>
                <w:rFonts w:ascii="Arial" w:hAnsi="Arial" w:cs="Arial"/>
                <w:b/>
                <w:bCs/>
              </w:rPr>
              <w:t>R</w:t>
            </w:r>
          </w:p>
          <w:p w14:paraId="60F95302" w14:textId="77777777" w:rsidR="00930D90" w:rsidRPr="00441653" w:rsidRDefault="00930D90" w:rsidP="00930D90">
            <w:pPr>
              <w:jc w:val="both"/>
              <w:rPr>
                <w:rFonts w:ascii="Arial" w:hAnsi="Arial" w:cs="Arial"/>
              </w:rPr>
            </w:pPr>
            <w:r w:rsidRPr="00441653">
              <w:rPr>
                <w:rFonts w:ascii="Arial" w:hAnsi="Arial" w:cs="Arial"/>
              </w:rPr>
              <w:t xml:space="preserve">Water courses of plain to montane levels (3260) </w:t>
            </w:r>
            <w:r w:rsidRPr="002E4A09">
              <w:rPr>
                <w:rFonts w:ascii="Arial" w:hAnsi="Arial" w:cs="Arial"/>
                <w:b/>
                <w:bCs/>
              </w:rPr>
              <w:t>M</w:t>
            </w:r>
          </w:p>
          <w:p w14:paraId="57F2532F" w14:textId="77777777" w:rsidR="00930D90" w:rsidRPr="00441653" w:rsidRDefault="00930D90" w:rsidP="00930D90">
            <w:pPr>
              <w:jc w:val="both"/>
              <w:rPr>
                <w:rFonts w:ascii="Arial" w:hAnsi="Arial" w:cs="Arial"/>
              </w:rPr>
            </w:pPr>
            <w:r w:rsidRPr="00441653">
              <w:rPr>
                <w:rFonts w:ascii="Arial" w:hAnsi="Arial" w:cs="Arial"/>
              </w:rPr>
              <w:lastRenderedPageBreak/>
              <w:t xml:space="preserve">Molinia meadows on calcareous, </w:t>
            </w:r>
            <w:proofErr w:type="gramStart"/>
            <w:r w:rsidRPr="00441653">
              <w:rPr>
                <w:rFonts w:ascii="Arial" w:hAnsi="Arial" w:cs="Arial"/>
              </w:rPr>
              <w:t>peaty</w:t>
            </w:r>
            <w:proofErr w:type="gramEnd"/>
            <w:r w:rsidRPr="00441653">
              <w:rPr>
                <w:rFonts w:ascii="Arial" w:hAnsi="Arial" w:cs="Arial"/>
              </w:rPr>
              <w:t xml:space="preserve"> or clayey-silt-laden soil (6410)</w:t>
            </w:r>
            <w:r w:rsidRPr="002E4A09">
              <w:rPr>
                <w:rFonts w:ascii="Arial" w:hAnsi="Arial" w:cs="Arial"/>
                <w:b/>
                <w:bCs/>
              </w:rPr>
              <w:t xml:space="preserve"> M</w:t>
            </w:r>
          </w:p>
          <w:p w14:paraId="066E1BA7" w14:textId="77777777" w:rsidR="00930D90" w:rsidRPr="007A1066" w:rsidRDefault="00930D90" w:rsidP="00930D90">
            <w:pPr>
              <w:jc w:val="both"/>
              <w:rPr>
                <w:rFonts w:ascii="Arial" w:hAnsi="Arial" w:cs="Arial"/>
                <w:lang w:val="it-IT"/>
              </w:rPr>
            </w:pPr>
            <w:r w:rsidRPr="007A1066">
              <w:rPr>
                <w:rFonts w:ascii="Arial" w:hAnsi="Arial" w:cs="Arial"/>
                <w:lang w:val="it-IT"/>
              </w:rPr>
              <w:t xml:space="preserve">Alluvial forests (91E0) </w:t>
            </w:r>
            <w:r w:rsidRPr="007A1066">
              <w:rPr>
                <w:rFonts w:ascii="Arial" w:hAnsi="Arial" w:cs="Arial"/>
                <w:b/>
                <w:bCs/>
                <w:lang w:val="it-IT"/>
              </w:rPr>
              <w:t>M</w:t>
            </w:r>
          </w:p>
          <w:p w14:paraId="49278685" w14:textId="77777777" w:rsidR="00930D90" w:rsidRPr="007A1066" w:rsidRDefault="00930D90" w:rsidP="00930D90">
            <w:pPr>
              <w:jc w:val="both"/>
              <w:rPr>
                <w:rFonts w:ascii="Arial" w:hAnsi="Arial" w:cs="Arial"/>
                <w:b/>
                <w:bCs/>
                <w:lang w:val="it-IT"/>
              </w:rPr>
            </w:pPr>
            <w:r w:rsidRPr="007A1066">
              <w:rPr>
                <w:rFonts w:ascii="Arial" w:hAnsi="Arial" w:cs="Arial"/>
                <w:lang w:val="it-IT"/>
              </w:rPr>
              <w:t>Freshwater Pearl Mussel Margaritifera margaritifera (1029)</w:t>
            </w:r>
            <w:r w:rsidRPr="007A1066">
              <w:rPr>
                <w:rFonts w:ascii="Arial" w:hAnsi="Arial" w:cs="Arial"/>
                <w:b/>
                <w:bCs/>
                <w:lang w:val="it-IT"/>
              </w:rPr>
              <w:t xml:space="preserve"> R</w:t>
            </w:r>
          </w:p>
          <w:p w14:paraId="50C95004" w14:textId="506D2E9A" w:rsidR="00930D90" w:rsidRPr="00513BAB" w:rsidRDefault="00930D90" w:rsidP="00930D90">
            <w:pPr>
              <w:jc w:val="both"/>
              <w:rPr>
                <w:rFonts w:ascii="Arial" w:hAnsi="Arial" w:cs="Arial"/>
                <w:b/>
                <w:bCs/>
              </w:rPr>
            </w:pPr>
            <w:r w:rsidRPr="00441653">
              <w:rPr>
                <w:rFonts w:ascii="Arial" w:hAnsi="Arial" w:cs="Arial"/>
              </w:rPr>
              <w:t>Estuaries (1130</w:t>
            </w:r>
            <w:r w:rsidRPr="00F34A91">
              <w:rPr>
                <w:rFonts w:ascii="Arial" w:hAnsi="Arial" w:cs="Arial"/>
                <w:b/>
                <w:bCs/>
              </w:rPr>
              <w:t>) M</w:t>
            </w:r>
          </w:p>
        </w:tc>
        <w:tc>
          <w:tcPr>
            <w:tcW w:w="4626" w:type="dxa"/>
          </w:tcPr>
          <w:p w14:paraId="405CEE80" w14:textId="77777777" w:rsidR="00930D90" w:rsidRDefault="00930D90" w:rsidP="00930D90">
            <w:pPr>
              <w:jc w:val="both"/>
              <w:rPr>
                <w:rFonts w:ascii="Arial" w:hAnsi="Arial" w:cs="Arial"/>
                <w:b/>
                <w:bCs/>
              </w:rPr>
            </w:pPr>
          </w:p>
          <w:p w14:paraId="48366863" w14:textId="77777777" w:rsidR="00930D90" w:rsidRDefault="00930D90" w:rsidP="00930D90">
            <w:pPr>
              <w:jc w:val="both"/>
              <w:rPr>
                <w:rFonts w:ascii="Arial" w:hAnsi="Arial" w:cs="Arial"/>
                <w:b/>
                <w:bCs/>
              </w:rPr>
            </w:pPr>
          </w:p>
          <w:p w14:paraId="6A4F672B" w14:textId="77777777" w:rsidR="00930D90" w:rsidRDefault="00930D90" w:rsidP="00930D90">
            <w:pPr>
              <w:jc w:val="both"/>
              <w:rPr>
                <w:rFonts w:ascii="Arial" w:hAnsi="Arial" w:cs="Arial"/>
                <w:b/>
                <w:bCs/>
              </w:rPr>
            </w:pPr>
          </w:p>
          <w:p w14:paraId="0335C839" w14:textId="77777777" w:rsidR="00930D90" w:rsidRDefault="00930D90" w:rsidP="00930D90">
            <w:pPr>
              <w:jc w:val="both"/>
              <w:rPr>
                <w:rFonts w:ascii="Arial" w:hAnsi="Arial" w:cs="Arial"/>
                <w:b/>
                <w:bCs/>
              </w:rPr>
            </w:pPr>
          </w:p>
          <w:p w14:paraId="414EDFE4" w14:textId="77777777" w:rsidR="00930D90" w:rsidRDefault="00930D90" w:rsidP="00930D90">
            <w:pPr>
              <w:jc w:val="both"/>
              <w:rPr>
                <w:rFonts w:ascii="Arial" w:hAnsi="Arial" w:cs="Arial"/>
                <w:b/>
                <w:bCs/>
              </w:rPr>
            </w:pPr>
          </w:p>
          <w:p w14:paraId="09EFF59E" w14:textId="77777777" w:rsidR="00930D90" w:rsidRDefault="00930D90" w:rsidP="00930D90">
            <w:pPr>
              <w:jc w:val="both"/>
              <w:rPr>
                <w:rFonts w:ascii="Arial" w:hAnsi="Arial" w:cs="Arial"/>
                <w:b/>
                <w:bCs/>
              </w:rPr>
            </w:pPr>
          </w:p>
          <w:p w14:paraId="55AE52F6" w14:textId="77777777" w:rsidR="00930D90" w:rsidRDefault="00930D90" w:rsidP="00930D90">
            <w:pPr>
              <w:jc w:val="both"/>
              <w:rPr>
                <w:rFonts w:ascii="Arial" w:hAnsi="Arial" w:cs="Arial"/>
                <w:b/>
                <w:bCs/>
              </w:rPr>
            </w:pPr>
          </w:p>
          <w:p w14:paraId="1BB199C9" w14:textId="77777777" w:rsidR="00930D90" w:rsidRDefault="00930D90" w:rsidP="00930D90">
            <w:pPr>
              <w:jc w:val="both"/>
              <w:rPr>
                <w:rFonts w:ascii="Arial" w:hAnsi="Arial" w:cs="Arial"/>
                <w:b/>
                <w:bCs/>
              </w:rPr>
            </w:pPr>
          </w:p>
          <w:p w14:paraId="07657583" w14:textId="77777777" w:rsidR="00930D90" w:rsidRDefault="00930D90" w:rsidP="00930D90">
            <w:pPr>
              <w:jc w:val="both"/>
              <w:rPr>
                <w:rFonts w:ascii="Arial" w:hAnsi="Arial" w:cs="Arial"/>
                <w:b/>
                <w:bCs/>
              </w:rPr>
            </w:pPr>
          </w:p>
          <w:p w14:paraId="14167670" w14:textId="77777777" w:rsidR="00930D90" w:rsidRDefault="00930D90" w:rsidP="00930D90">
            <w:pPr>
              <w:jc w:val="both"/>
              <w:rPr>
                <w:rFonts w:ascii="Arial" w:hAnsi="Arial" w:cs="Arial"/>
                <w:b/>
                <w:bCs/>
              </w:rPr>
            </w:pPr>
            <w:r w:rsidRPr="007A1EBA">
              <w:rPr>
                <w:rFonts w:ascii="Arial" w:hAnsi="Arial" w:cs="Arial"/>
                <w:b/>
                <w:bCs/>
              </w:rPr>
              <w:t>Significant Likely Impacts for these QIs screened out at Stage 1 (See Appendix 2 of this report)</w:t>
            </w:r>
          </w:p>
          <w:p w14:paraId="3DB4C39B" w14:textId="77777777" w:rsidR="00457F48" w:rsidRDefault="00457F48" w:rsidP="00930D90">
            <w:pPr>
              <w:jc w:val="both"/>
              <w:rPr>
                <w:rFonts w:ascii="Arial" w:hAnsi="Arial" w:cs="Arial"/>
                <w:b/>
                <w:bCs/>
              </w:rPr>
            </w:pPr>
          </w:p>
          <w:p w14:paraId="2DDEB264" w14:textId="640F4B25" w:rsidR="00457F48" w:rsidRPr="00303C9E" w:rsidRDefault="00457F48" w:rsidP="00930D90">
            <w:pPr>
              <w:jc w:val="both"/>
              <w:rPr>
                <w:rFonts w:ascii="Arial" w:hAnsi="Arial" w:cs="Arial"/>
              </w:rPr>
            </w:pPr>
            <w:r>
              <w:rPr>
                <w:rFonts w:ascii="Arial" w:hAnsi="Arial" w:cs="Arial"/>
                <w:b/>
                <w:bCs/>
              </w:rPr>
              <w:t xml:space="preserve">No Mitigation </w:t>
            </w:r>
            <w:r w:rsidR="00EC4046">
              <w:rPr>
                <w:rFonts w:ascii="Arial" w:hAnsi="Arial" w:cs="Arial"/>
                <w:b/>
                <w:bCs/>
              </w:rPr>
              <w:t>Required</w:t>
            </w:r>
          </w:p>
        </w:tc>
      </w:tr>
    </w:tbl>
    <w:p w14:paraId="514C9352" w14:textId="5E531015" w:rsidR="00E34E06" w:rsidRDefault="006E7A14" w:rsidP="008A02FA">
      <w:pPr>
        <w:pStyle w:val="Heading2"/>
      </w:pPr>
      <w:r>
        <w:t>Potential Impacts and Recommended Mitigation Measures</w:t>
      </w:r>
    </w:p>
    <w:p w14:paraId="7AF3F6D4" w14:textId="2CE6A014" w:rsidR="002E41A1" w:rsidRDefault="002E41A1" w:rsidP="002E41A1">
      <w:pPr>
        <w:pStyle w:val="BBody1"/>
        <w:numPr>
          <w:ilvl w:val="0"/>
          <w:numId w:val="0"/>
        </w:numPr>
        <w:rPr>
          <w:lang w:eastAsia="en-IE"/>
        </w:rPr>
      </w:pPr>
      <w:r>
        <w:rPr>
          <w:lang w:eastAsia="en-IE"/>
        </w:rPr>
        <w:t xml:space="preserve">In this section, I will consider the </w:t>
      </w:r>
      <w:r w:rsidRPr="00B14350">
        <w:rPr>
          <w:lang w:eastAsia="en-IE"/>
        </w:rPr>
        <w:t>Potential Impacts and Schedule of Mitigation</w:t>
      </w:r>
      <w:r>
        <w:rPr>
          <w:lang w:eastAsia="en-IE"/>
        </w:rPr>
        <w:t>,</w:t>
      </w:r>
      <w:r w:rsidRPr="00B14350">
        <w:rPr>
          <w:lang w:eastAsia="en-IE"/>
        </w:rPr>
        <w:t xml:space="preserve"> </w:t>
      </w:r>
      <w:r>
        <w:rPr>
          <w:lang w:eastAsia="en-IE"/>
        </w:rPr>
        <w:t>which are contained</w:t>
      </w:r>
      <w:r w:rsidRPr="00B14350">
        <w:rPr>
          <w:lang w:eastAsia="en-IE"/>
        </w:rPr>
        <w:t xml:space="preserve"> in Section </w:t>
      </w:r>
      <w:r>
        <w:rPr>
          <w:lang w:eastAsia="en-IE"/>
        </w:rPr>
        <w:t>5.</w:t>
      </w:r>
      <w:r w:rsidRPr="00B14350">
        <w:rPr>
          <w:lang w:eastAsia="en-IE"/>
        </w:rPr>
        <w:t xml:space="preserve">3 of the Applicants NIS </w:t>
      </w:r>
      <w:r>
        <w:rPr>
          <w:lang w:eastAsia="en-IE"/>
        </w:rPr>
        <w:t xml:space="preserve">and summarised </w:t>
      </w:r>
      <w:r w:rsidRPr="00B14350">
        <w:rPr>
          <w:lang w:eastAsia="en-IE"/>
        </w:rPr>
        <w:t xml:space="preserve">as </w:t>
      </w:r>
      <w:proofErr w:type="gramStart"/>
      <w:r w:rsidRPr="00B14350">
        <w:rPr>
          <w:lang w:eastAsia="en-IE"/>
        </w:rPr>
        <w:t>follows;</w:t>
      </w:r>
      <w:proofErr w:type="gramEnd"/>
    </w:p>
    <w:p w14:paraId="20A78234" w14:textId="2C8D26AD" w:rsidR="004F1CBA" w:rsidRDefault="004F1CBA" w:rsidP="00C6208E">
      <w:pPr>
        <w:pStyle w:val="ListParagraph"/>
        <w:numPr>
          <w:ilvl w:val="0"/>
          <w:numId w:val="63"/>
        </w:numPr>
        <w:ind w:left="851" w:hanging="284"/>
        <w:jc w:val="both"/>
        <w:rPr>
          <w:lang w:eastAsia="en-IE"/>
        </w:rPr>
      </w:pPr>
      <w:r>
        <w:t xml:space="preserve">Permanent and / or temporary loss or degradation of </w:t>
      </w:r>
      <w:proofErr w:type="gramStart"/>
      <w:r>
        <w:t>habitats</w:t>
      </w:r>
      <w:r w:rsidR="0019251D">
        <w:t>;</w:t>
      </w:r>
      <w:proofErr w:type="gramEnd"/>
    </w:p>
    <w:p w14:paraId="1D5022A8" w14:textId="56EA490F" w:rsidR="004F1CBA" w:rsidRDefault="004F1CBA" w:rsidP="00C6208E">
      <w:pPr>
        <w:pStyle w:val="ListParagraph"/>
        <w:numPr>
          <w:ilvl w:val="0"/>
          <w:numId w:val="63"/>
        </w:numPr>
        <w:ind w:left="851" w:hanging="284"/>
        <w:jc w:val="both"/>
        <w:rPr>
          <w:lang w:eastAsia="en-IE"/>
        </w:rPr>
      </w:pPr>
      <w:r>
        <w:t xml:space="preserve">Airborne pollution as a result of </w:t>
      </w:r>
      <w:proofErr w:type="gramStart"/>
      <w:r>
        <w:t>emissions</w:t>
      </w:r>
      <w:r w:rsidR="0019251D">
        <w:t>;</w:t>
      </w:r>
      <w:proofErr w:type="gramEnd"/>
      <w:r>
        <w:t xml:space="preserve"> </w:t>
      </w:r>
    </w:p>
    <w:p w14:paraId="0B7E28B1" w14:textId="09B3027B" w:rsidR="004F1CBA" w:rsidRDefault="004F1CBA" w:rsidP="00C6208E">
      <w:pPr>
        <w:pStyle w:val="ListParagraph"/>
        <w:numPr>
          <w:ilvl w:val="0"/>
          <w:numId w:val="63"/>
        </w:numPr>
        <w:ind w:left="851" w:hanging="284"/>
        <w:jc w:val="both"/>
        <w:rPr>
          <w:lang w:eastAsia="en-IE"/>
        </w:rPr>
      </w:pPr>
      <w:r>
        <w:t xml:space="preserve">Disturbance of animal species during the construction, operation and / or decommissioning due to increased noise, vibration, lighting, or the presence of personnel, plant and / or </w:t>
      </w:r>
      <w:proofErr w:type="gramStart"/>
      <w:r>
        <w:t>machinery;</w:t>
      </w:r>
      <w:proofErr w:type="gramEnd"/>
      <w:r>
        <w:t xml:space="preserve"> </w:t>
      </w:r>
    </w:p>
    <w:p w14:paraId="57A02C23" w14:textId="7501AC26" w:rsidR="004F1CBA" w:rsidRDefault="004F1CBA" w:rsidP="00C6208E">
      <w:pPr>
        <w:pStyle w:val="ListParagraph"/>
        <w:numPr>
          <w:ilvl w:val="0"/>
          <w:numId w:val="63"/>
        </w:numPr>
        <w:ind w:left="851" w:hanging="284"/>
        <w:jc w:val="both"/>
        <w:rPr>
          <w:lang w:eastAsia="en-IE"/>
        </w:rPr>
      </w:pPr>
      <w:r>
        <w:t xml:space="preserve">Damage or destruction of the resting places of protected or notable animal </w:t>
      </w:r>
      <w:proofErr w:type="gramStart"/>
      <w:r>
        <w:t>species</w:t>
      </w:r>
      <w:r w:rsidR="0019251D">
        <w:t>;</w:t>
      </w:r>
      <w:proofErr w:type="gramEnd"/>
      <w:r>
        <w:t xml:space="preserve"> </w:t>
      </w:r>
    </w:p>
    <w:p w14:paraId="6A047729" w14:textId="5C3616A1" w:rsidR="0019251D" w:rsidRDefault="004F1CBA" w:rsidP="00C6208E">
      <w:pPr>
        <w:pStyle w:val="ListParagraph"/>
        <w:numPr>
          <w:ilvl w:val="0"/>
          <w:numId w:val="63"/>
        </w:numPr>
        <w:ind w:left="851" w:hanging="284"/>
        <w:jc w:val="both"/>
        <w:rPr>
          <w:lang w:eastAsia="en-IE"/>
        </w:rPr>
      </w:pPr>
      <w:r>
        <w:t xml:space="preserve">Displacement of animal </w:t>
      </w:r>
      <w:proofErr w:type="gramStart"/>
      <w:r>
        <w:t>species</w:t>
      </w:r>
      <w:r w:rsidR="0019251D">
        <w:t>;</w:t>
      </w:r>
      <w:proofErr w:type="gramEnd"/>
      <w:r>
        <w:t xml:space="preserve"> </w:t>
      </w:r>
    </w:p>
    <w:p w14:paraId="375CBF3C" w14:textId="220EFCD3" w:rsidR="004F1CBA" w:rsidRDefault="004F1CBA" w:rsidP="00C6208E">
      <w:pPr>
        <w:pStyle w:val="ListParagraph"/>
        <w:numPr>
          <w:ilvl w:val="0"/>
          <w:numId w:val="63"/>
        </w:numPr>
        <w:ind w:left="851" w:hanging="284"/>
        <w:jc w:val="both"/>
        <w:rPr>
          <w:lang w:eastAsia="en-IE"/>
        </w:rPr>
      </w:pPr>
      <w:r>
        <w:t xml:space="preserve">Injury or mortality of plant or animal </w:t>
      </w:r>
      <w:proofErr w:type="gramStart"/>
      <w:r>
        <w:t>species</w:t>
      </w:r>
      <w:r w:rsidR="0019251D">
        <w:t>;</w:t>
      </w:r>
      <w:proofErr w:type="gramEnd"/>
      <w:r>
        <w:t xml:space="preserve"> </w:t>
      </w:r>
    </w:p>
    <w:p w14:paraId="11DFFD60" w14:textId="1DFF1CFD" w:rsidR="004F1CBA" w:rsidRDefault="004F1CBA" w:rsidP="00C6208E">
      <w:pPr>
        <w:pStyle w:val="ListParagraph"/>
        <w:numPr>
          <w:ilvl w:val="0"/>
          <w:numId w:val="63"/>
        </w:numPr>
        <w:ind w:left="851" w:hanging="284"/>
        <w:jc w:val="both"/>
        <w:rPr>
          <w:lang w:eastAsia="en-IE"/>
        </w:rPr>
      </w:pPr>
      <w:r>
        <w:t>The spread of invasive non-native plant species during construction and decommissioning.</w:t>
      </w:r>
    </w:p>
    <w:p w14:paraId="7488F609" w14:textId="72803A7F" w:rsidR="00093A3E" w:rsidRDefault="006727ED" w:rsidP="00B97816">
      <w:pPr>
        <w:pStyle w:val="BBody1"/>
        <w:numPr>
          <w:ilvl w:val="0"/>
          <w:numId w:val="0"/>
        </w:numPr>
        <w:jc w:val="both"/>
        <w:rPr>
          <w:lang w:eastAsia="en-IE"/>
        </w:rPr>
      </w:pPr>
      <w:r w:rsidRPr="00932AC9">
        <w:rPr>
          <w:lang w:eastAsia="en-IE"/>
        </w:rPr>
        <w:t xml:space="preserve">I consider the Applicant has provided a detailed description of the likely potential </w:t>
      </w:r>
      <w:r w:rsidR="007A3F30" w:rsidRPr="00932AC9">
        <w:rPr>
          <w:lang w:eastAsia="en-IE"/>
        </w:rPr>
        <w:t>effects of the</w:t>
      </w:r>
      <w:r w:rsidR="00C16DDC" w:rsidRPr="00932AC9">
        <w:rPr>
          <w:lang w:eastAsia="en-IE"/>
        </w:rPr>
        <w:t xml:space="preserve"> proposed</w:t>
      </w:r>
      <w:r w:rsidR="007A3F30" w:rsidRPr="00932AC9">
        <w:rPr>
          <w:lang w:eastAsia="en-IE"/>
        </w:rPr>
        <w:t xml:space="preserve"> development</w:t>
      </w:r>
      <w:r w:rsidR="00490FA4" w:rsidRPr="00932AC9">
        <w:rPr>
          <w:lang w:eastAsia="en-IE"/>
        </w:rPr>
        <w:t xml:space="preserve"> at all phases of development</w:t>
      </w:r>
      <w:r w:rsidR="00961684" w:rsidRPr="00932AC9">
        <w:rPr>
          <w:lang w:eastAsia="en-IE"/>
        </w:rPr>
        <w:t>,</w:t>
      </w:r>
      <w:r w:rsidR="007A3F30" w:rsidRPr="00932AC9">
        <w:rPr>
          <w:lang w:eastAsia="en-IE"/>
        </w:rPr>
        <w:t xml:space="preserve"> </w:t>
      </w:r>
      <w:r w:rsidR="000C2EC7" w:rsidRPr="00932AC9">
        <w:rPr>
          <w:lang w:eastAsia="en-IE"/>
        </w:rPr>
        <w:t xml:space="preserve">which </w:t>
      </w:r>
      <w:r w:rsidR="005A15E0" w:rsidRPr="00932AC9">
        <w:rPr>
          <w:lang w:eastAsia="en-IE"/>
        </w:rPr>
        <w:t xml:space="preserve">mainly </w:t>
      </w:r>
      <w:r w:rsidR="000C2EC7" w:rsidRPr="00932AC9">
        <w:rPr>
          <w:lang w:eastAsia="en-IE"/>
        </w:rPr>
        <w:t xml:space="preserve">focuses on the impact of construction works on </w:t>
      </w:r>
      <w:r w:rsidR="00D5195E" w:rsidRPr="00932AC9">
        <w:rPr>
          <w:lang w:eastAsia="en-IE"/>
        </w:rPr>
        <w:t>the Qualifying Interests of the adjacent SAC and SPA</w:t>
      </w:r>
      <w:r w:rsidR="00D83198">
        <w:rPr>
          <w:lang w:eastAsia="en-IE"/>
        </w:rPr>
        <w:t>,</w:t>
      </w:r>
      <w:r w:rsidR="003342DC">
        <w:rPr>
          <w:lang w:eastAsia="en-IE"/>
        </w:rPr>
        <w:t xml:space="preserve"> </w:t>
      </w:r>
      <w:r w:rsidR="00844468">
        <w:rPr>
          <w:lang w:eastAsia="en-IE"/>
        </w:rPr>
        <w:t xml:space="preserve">including the </w:t>
      </w:r>
      <w:proofErr w:type="gramStart"/>
      <w:r w:rsidR="00844468">
        <w:rPr>
          <w:lang w:eastAsia="en-IE"/>
        </w:rPr>
        <w:t>following</w:t>
      </w:r>
      <w:r w:rsidR="00B37BBA" w:rsidRPr="00932AC9">
        <w:rPr>
          <w:lang w:eastAsia="en-IE"/>
        </w:rPr>
        <w:t>;</w:t>
      </w:r>
      <w:proofErr w:type="gramEnd"/>
    </w:p>
    <w:p w14:paraId="254CDD26" w14:textId="5D4140D0" w:rsidR="00374631" w:rsidRDefault="00374631" w:rsidP="00374631">
      <w:pPr>
        <w:pStyle w:val="BBody1"/>
        <w:numPr>
          <w:ilvl w:val="0"/>
          <w:numId w:val="78"/>
        </w:numPr>
        <w:jc w:val="both"/>
        <w:rPr>
          <w:lang w:eastAsia="en-IE"/>
        </w:rPr>
      </w:pPr>
      <w:r>
        <w:rPr>
          <w:lang w:eastAsia="en-IE"/>
        </w:rPr>
        <w:t>An Ecological Clerk of Works will be appointed for the duration of the construction works</w:t>
      </w:r>
      <w:r w:rsidR="00BD588F">
        <w:rPr>
          <w:lang w:eastAsia="en-IE"/>
        </w:rPr>
        <w:t xml:space="preserve">, who will </w:t>
      </w:r>
      <w:r>
        <w:rPr>
          <w:lang w:eastAsia="en-IE"/>
        </w:rPr>
        <w:t>monitor</w:t>
      </w:r>
      <w:r w:rsidR="00BD588F">
        <w:rPr>
          <w:lang w:eastAsia="en-IE"/>
        </w:rPr>
        <w:t xml:space="preserve"> and advise on </w:t>
      </w:r>
      <w:r>
        <w:rPr>
          <w:lang w:eastAsia="en-IE"/>
        </w:rPr>
        <w:t xml:space="preserve">the implementation of </w:t>
      </w:r>
      <w:r w:rsidR="0030327C">
        <w:rPr>
          <w:lang w:eastAsia="en-IE"/>
        </w:rPr>
        <w:t>the mitigation</w:t>
      </w:r>
      <w:r w:rsidR="00BD588F">
        <w:rPr>
          <w:lang w:eastAsia="en-IE"/>
        </w:rPr>
        <w:t xml:space="preserve"> measures</w:t>
      </w:r>
      <w:r w:rsidR="0030327C">
        <w:rPr>
          <w:lang w:eastAsia="en-IE"/>
        </w:rPr>
        <w:t xml:space="preserve"> includ</w:t>
      </w:r>
      <w:r w:rsidR="00B47279">
        <w:rPr>
          <w:lang w:eastAsia="en-IE"/>
        </w:rPr>
        <w:t>ed</w:t>
      </w:r>
      <w:r w:rsidR="0030327C">
        <w:rPr>
          <w:lang w:eastAsia="en-IE"/>
        </w:rPr>
        <w:t xml:space="preserve"> in the EIAR, NIS and accompanying planning application </w:t>
      </w:r>
      <w:proofErr w:type="gramStart"/>
      <w:r w:rsidR="0030327C">
        <w:rPr>
          <w:lang w:eastAsia="en-IE"/>
        </w:rPr>
        <w:t>documentation</w:t>
      </w:r>
      <w:r>
        <w:rPr>
          <w:lang w:eastAsia="en-IE"/>
        </w:rPr>
        <w:t>;</w:t>
      </w:r>
      <w:proofErr w:type="gramEnd"/>
    </w:p>
    <w:p w14:paraId="17DFED22" w14:textId="09C2D40E" w:rsidR="00557E73" w:rsidRDefault="00293F69" w:rsidP="002A7683">
      <w:pPr>
        <w:pStyle w:val="BBody1"/>
        <w:numPr>
          <w:ilvl w:val="0"/>
          <w:numId w:val="78"/>
        </w:numPr>
        <w:jc w:val="both"/>
        <w:rPr>
          <w:lang w:eastAsia="en-IE"/>
        </w:rPr>
      </w:pPr>
      <w:r>
        <w:rPr>
          <w:lang w:eastAsia="en-IE"/>
        </w:rPr>
        <w:t xml:space="preserve">The CEMP for the proposed development will be implemented </w:t>
      </w:r>
      <w:r w:rsidR="00E611E6">
        <w:rPr>
          <w:lang w:eastAsia="en-IE"/>
        </w:rPr>
        <w:t xml:space="preserve">by the construction </w:t>
      </w:r>
      <w:r w:rsidR="00557E73">
        <w:rPr>
          <w:lang w:eastAsia="en-IE"/>
        </w:rPr>
        <w:t>contractor,</w:t>
      </w:r>
      <w:r w:rsidR="00F67D4F">
        <w:rPr>
          <w:lang w:eastAsia="en-IE"/>
        </w:rPr>
        <w:t xml:space="preserve"> which </w:t>
      </w:r>
      <w:r w:rsidR="00557E73">
        <w:rPr>
          <w:lang w:eastAsia="en-IE"/>
        </w:rPr>
        <w:t>includes general mitigation measures employed as industry standard best practice</w:t>
      </w:r>
      <w:r w:rsidR="008D24AC">
        <w:rPr>
          <w:lang w:eastAsia="en-IE"/>
        </w:rPr>
        <w:t>, which will</w:t>
      </w:r>
      <w:r w:rsidR="002A2F7A">
        <w:rPr>
          <w:lang w:eastAsia="en-IE"/>
        </w:rPr>
        <w:t xml:space="preserve"> </w:t>
      </w:r>
      <w:r w:rsidR="002B4AF6">
        <w:rPr>
          <w:lang w:eastAsia="en-IE"/>
        </w:rPr>
        <w:t xml:space="preserve">protect adjoining habitats from degradation due to </w:t>
      </w:r>
      <w:r w:rsidR="000B5C84">
        <w:rPr>
          <w:lang w:eastAsia="en-IE"/>
        </w:rPr>
        <w:t>airborne pollution, disturbance of animal species due to noise, vibration, lighting and personnel/machinery</w:t>
      </w:r>
      <w:r w:rsidR="003853E8">
        <w:rPr>
          <w:lang w:eastAsia="en-IE"/>
        </w:rPr>
        <w:t xml:space="preserve"> and</w:t>
      </w:r>
      <w:r w:rsidR="00F26818">
        <w:rPr>
          <w:lang w:eastAsia="en-IE"/>
        </w:rPr>
        <w:t xml:space="preserve"> will minimise the damage or destruction of the resting places of </w:t>
      </w:r>
      <w:r w:rsidR="00374631">
        <w:rPr>
          <w:lang w:eastAsia="en-IE"/>
        </w:rPr>
        <w:t>animal species</w:t>
      </w:r>
      <w:r w:rsidR="003853E8">
        <w:rPr>
          <w:lang w:eastAsia="en-IE"/>
        </w:rPr>
        <w:t>.</w:t>
      </w:r>
    </w:p>
    <w:p w14:paraId="6C01277C" w14:textId="47644A3A" w:rsidR="002A7683" w:rsidRDefault="00C35FDC" w:rsidP="002A7683">
      <w:pPr>
        <w:pStyle w:val="BBody1"/>
        <w:numPr>
          <w:ilvl w:val="0"/>
          <w:numId w:val="78"/>
        </w:numPr>
        <w:jc w:val="both"/>
        <w:rPr>
          <w:lang w:eastAsia="en-IE"/>
        </w:rPr>
      </w:pPr>
      <w:r>
        <w:rPr>
          <w:lang w:eastAsia="en-IE"/>
        </w:rPr>
        <w:lastRenderedPageBreak/>
        <w:t xml:space="preserve">The </w:t>
      </w:r>
      <w:r w:rsidR="00136BA5" w:rsidRPr="00932AC9">
        <w:rPr>
          <w:lang w:eastAsia="en-IE"/>
        </w:rPr>
        <w:t xml:space="preserve">Site is physically removed </w:t>
      </w:r>
      <w:r w:rsidR="00687CF9" w:rsidRPr="00932AC9">
        <w:rPr>
          <w:lang w:eastAsia="en-IE"/>
        </w:rPr>
        <w:t>from the</w:t>
      </w:r>
      <w:r>
        <w:rPr>
          <w:lang w:eastAsia="en-IE"/>
        </w:rPr>
        <w:t xml:space="preserve"> protected</w:t>
      </w:r>
      <w:r w:rsidR="00687CF9" w:rsidRPr="00932AC9">
        <w:rPr>
          <w:lang w:eastAsia="en-IE"/>
        </w:rPr>
        <w:t xml:space="preserve"> </w:t>
      </w:r>
      <w:proofErr w:type="gramStart"/>
      <w:r w:rsidR="00687CF9" w:rsidRPr="00932AC9">
        <w:rPr>
          <w:lang w:eastAsia="en-IE"/>
        </w:rPr>
        <w:t>habitats</w:t>
      </w:r>
      <w:r>
        <w:rPr>
          <w:lang w:eastAsia="en-IE"/>
        </w:rPr>
        <w:t>,</w:t>
      </w:r>
      <w:proofErr w:type="gramEnd"/>
      <w:r w:rsidR="00687CF9" w:rsidRPr="00932AC9">
        <w:rPr>
          <w:lang w:eastAsia="en-IE"/>
        </w:rPr>
        <w:t xml:space="preserve"> therefore no degradation of </w:t>
      </w:r>
      <w:r w:rsidR="00093A3E" w:rsidRPr="00932AC9">
        <w:rPr>
          <w:lang w:eastAsia="en-IE"/>
        </w:rPr>
        <w:t>habitats</w:t>
      </w:r>
      <w:r w:rsidR="00687CF9" w:rsidRPr="00932AC9">
        <w:rPr>
          <w:lang w:eastAsia="en-IE"/>
        </w:rPr>
        <w:t xml:space="preserve"> </w:t>
      </w:r>
      <w:r w:rsidR="002F4603">
        <w:rPr>
          <w:lang w:eastAsia="en-IE"/>
        </w:rPr>
        <w:t>is likely to occur due to the proposed development</w:t>
      </w:r>
      <w:r w:rsidR="00687CF9" w:rsidRPr="00932AC9">
        <w:rPr>
          <w:lang w:eastAsia="en-IE"/>
        </w:rPr>
        <w:t>.</w:t>
      </w:r>
    </w:p>
    <w:p w14:paraId="52740C57" w14:textId="77777777" w:rsidR="002A7683" w:rsidRDefault="00AD392C" w:rsidP="002A7683">
      <w:pPr>
        <w:pStyle w:val="BBody1"/>
        <w:numPr>
          <w:ilvl w:val="0"/>
          <w:numId w:val="78"/>
        </w:numPr>
        <w:jc w:val="both"/>
        <w:rPr>
          <w:lang w:eastAsia="en-IE"/>
        </w:rPr>
      </w:pPr>
      <w:r w:rsidRPr="00932AC9">
        <w:rPr>
          <w:lang w:eastAsia="en-IE"/>
        </w:rPr>
        <w:t xml:space="preserve">Vibration propagation is limited outside the site and aquatic life is </w:t>
      </w:r>
      <w:r w:rsidR="00DE43DA" w:rsidRPr="00932AC9">
        <w:rPr>
          <w:lang w:eastAsia="en-IE"/>
        </w:rPr>
        <w:t>mobile and will move away during construction</w:t>
      </w:r>
      <w:r w:rsidR="002A7683">
        <w:rPr>
          <w:lang w:eastAsia="en-IE"/>
        </w:rPr>
        <w:t>, if necessary.</w:t>
      </w:r>
    </w:p>
    <w:p w14:paraId="43C2F56A" w14:textId="43BFF385" w:rsidR="00CE1ABC" w:rsidRDefault="00FB4B0F" w:rsidP="002A7683">
      <w:pPr>
        <w:pStyle w:val="BBody1"/>
        <w:numPr>
          <w:ilvl w:val="0"/>
          <w:numId w:val="78"/>
        </w:numPr>
        <w:jc w:val="both"/>
        <w:rPr>
          <w:lang w:eastAsia="en-IE"/>
        </w:rPr>
      </w:pPr>
      <w:r>
        <w:rPr>
          <w:lang w:eastAsia="en-IE"/>
        </w:rPr>
        <w:t>Measures to minimise noise generated during construction and decommissioning phases will be implemented to minimise potential disturbance of SCI species.</w:t>
      </w:r>
    </w:p>
    <w:p w14:paraId="6AA067EC" w14:textId="0AE0C356" w:rsidR="003C33F2" w:rsidRPr="00932AC9" w:rsidRDefault="002A7683" w:rsidP="003342DC">
      <w:pPr>
        <w:pStyle w:val="BBody1"/>
        <w:numPr>
          <w:ilvl w:val="0"/>
          <w:numId w:val="78"/>
        </w:numPr>
        <w:jc w:val="both"/>
        <w:rPr>
          <w:lang w:eastAsia="en-IE"/>
        </w:rPr>
      </w:pPr>
      <w:r>
        <w:rPr>
          <w:lang w:eastAsia="en-IE"/>
        </w:rPr>
        <w:t xml:space="preserve">Proposed </w:t>
      </w:r>
      <w:r w:rsidR="003C33F2" w:rsidRPr="00932AC9">
        <w:rPr>
          <w:lang w:eastAsia="en-IE"/>
        </w:rPr>
        <w:t>Lighting</w:t>
      </w:r>
      <w:r w:rsidR="00325846">
        <w:rPr>
          <w:lang w:eastAsia="en-IE"/>
        </w:rPr>
        <w:t xml:space="preserve"> </w:t>
      </w:r>
      <w:r w:rsidR="007668A3">
        <w:rPr>
          <w:lang w:eastAsia="en-IE"/>
        </w:rPr>
        <w:t xml:space="preserve">for construction </w:t>
      </w:r>
      <w:r w:rsidR="00325846">
        <w:rPr>
          <w:lang w:eastAsia="en-IE"/>
        </w:rPr>
        <w:t>will be</w:t>
      </w:r>
      <w:r w:rsidR="003C33F2" w:rsidRPr="00932AC9">
        <w:rPr>
          <w:lang w:eastAsia="en-IE"/>
        </w:rPr>
        <w:t xml:space="preserve"> </w:t>
      </w:r>
      <w:r w:rsidR="006C1434">
        <w:rPr>
          <w:lang w:eastAsia="en-IE"/>
        </w:rPr>
        <w:t xml:space="preserve">directional </w:t>
      </w:r>
      <w:r w:rsidR="007668A3">
        <w:rPr>
          <w:lang w:eastAsia="en-IE"/>
        </w:rPr>
        <w:t>or</w:t>
      </w:r>
      <w:r w:rsidR="006C1434">
        <w:rPr>
          <w:lang w:eastAsia="en-IE"/>
        </w:rPr>
        <w:t xml:space="preserve"> minimise light spill</w:t>
      </w:r>
      <w:r w:rsidR="00AE446D">
        <w:rPr>
          <w:lang w:eastAsia="en-IE"/>
        </w:rPr>
        <w:t>.</w:t>
      </w:r>
      <w:r w:rsidR="009354DF">
        <w:rPr>
          <w:lang w:eastAsia="en-IE"/>
        </w:rPr>
        <w:t xml:space="preserve">  </w:t>
      </w:r>
      <w:r w:rsidR="003C33F2" w:rsidRPr="00932AC9">
        <w:rPr>
          <w:lang w:eastAsia="en-IE"/>
        </w:rPr>
        <w:t xml:space="preserve"> </w:t>
      </w:r>
    </w:p>
    <w:p w14:paraId="457376B7" w14:textId="3352DCEA" w:rsidR="00844468" w:rsidRPr="00844468" w:rsidRDefault="00F55613" w:rsidP="00136BA5">
      <w:pPr>
        <w:pStyle w:val="BBody1"/>
        <w:numPr>
          <w:ilvl w:val="0"/>
          <w:numId w:val="0"/>
        </w:numPr>
        <w:jc w:val="both"/>
        <w:rPr>
          <w:lang w:eastAsia="en-IE"/>
        </w:rPr>
      </w:pPr>
      <w:r w:rsidRPr="00844468">
        <w:rPr>
          <w:lang w:eastAsia="en-IE"/>
        </w:rPr>
        <w:t>A review of planning applications within 5km of the Site was complet</w:t>
      </w:r>
      <w:r w:rsidR="005E0282" w:rsidRPr="00844468">
        <w:rPr>
          <w:lang w:eastAsia="en-IE"/>
        </w:rPr>
        <w:t>ed</w:t>
      </w:r>
      <w:r w:rsidR="000E0A7E" w:rsidRPr="00844468">
        <w:rPr>
          <w:lang w:eastAsia="en-IE"/>
        </w:rPr>
        <w:t>.</w:t>
      </w:r>
      <w:r w:rsidR="00ED194E" w:rsidRPr="00844468">
        <w:rPr>
          <w:lang w:eastAsia="en-IE"/>
        </w:rPr>
        <w:t xml:space="preserve"> </w:t>
      </w:r>
      <w:r w:rsidR="0017105C" w:rsidRPr="00844468">
        <w:rPr>
          <w:lang w:eastAsia="en-IE"/>
        </w:rPr>
        <w:t xml:space="preserve"> A number of projects were </w:t>
      </w:r>
      <w:proofErr w:type="gramStart"/>
      <w:r w:rsidR="0017105C" w:rsidRPr="00844468">
        <w:rPr>
          <w:lang w:eastAsia="en-IE"/>
        </w:rPr>
        <w:t>identified</w:t>
      </w:r>
      <w:r w:rsidR="00112D01">
        <w:rPr>
          <w:lang w:eastAsia="en-IE"/>
        </w:rPr>
        <w:t xml:space="preserve">, </w:t>
      </w:r>
      <w:r w:rsidR="0017105C" w:rsidRPr="00844468">
        <w:rPr>
          <w:lang w:eastAsia="en-IE"/>
        </w:rPr>
        <w:t xml:space="preserve"> which</w:t>
      </w:r>
      <w:proofErr w:type="gramEnd"/>
      <w:r w:rsidR="0017105C" w:rsidRPr="00844468">
        <w:rPr>
          <w:lang w:eastAsia="en-IE"/>
        </w:rPr>
        <w:t xml:space="preserve"> may potentially act in-combination with the Proposed Development.  </w:t>
      </w:r>
      <w:r w:rsidR="00355503">
        <w:rPr>
          <w:lang w:eastAsia="en-IE"/>
        </w:rPr>
        <w:t xml:space="preserve">I have reviewed the details of </w:t>
      </w:r>
      <w:r w:rsidR="002E27F9">
        <w:rPr>
          <w:lang w:eastAsia="en-IE"/>
        </w:rPr>
        <w:t>projects within 5km of the proposed development</w:t>
      </w:r>
      <w:r w:rsidR="0017105C" w:rsidRPr="00844468">
        <w:rPr>
          <w:lang w:eastAsia="en-IE"/>
        </w:rPr>
        <w:t xml:space="preserve"> in Table 4.3 </w:t>
      </w:r>
      <w:r w:rsidR="00844468" w:rsidRPr="00844468">
        <w:rPr>
          <w:lang w:eastAsia="en-IE"/>
        </w:rPr>
        <w:t>of the Applicants EIAR.</w:t>
      </w:r>
      <w:r w:rsidR="000E0A7E" w:rsidRPr="00844468">
        <w:rPr>
          <w:lang w:eastAsia="en-IE"/>
        </w:rPr>
        <w:t xml:space="preserve">  </w:t>
      </w:r>
    </w:p>
    <w:p w14:paraId="1B932AF1" w14:textId="2DC92438" w:rsidR="009A4827" w:rsidRDefault="000E0A7E" w:rsidP="00136BA5">
      <w:pPr>
        <w:pStyle w:val="BBody1"/>
        <w:numPr>
          <w:ilvl w:val="0"/>
          <w:numId w:val="0"/>
        </w:numPr>
        <w:jc w:val="both"/>
        <w:rPr>
          <w:lang w:eastAsia="en-IE"/>
        </w:rPr>
      </w:pPr>
      <w:r w:rsidRPr="00844468">
        <w:rPr>
          <w:lang w:eastAsia="en-IE"/>
        </w:rPr>
        <w:t>I consider that no cumulative impacts are likely to occur due to the</w:t>
      </w:r>
      <w:r w:rsidR="002467AC">
        <w:rPr>
          <w:lang w:eastAsia="en-IE"/>
        </w:rPr>
        <w:t xml:space="preserve"> scale of </w:t>
      </w:r>
      <w:r w:rsidR="00CD5553">
        <w:rPr>
          <w:lang w:eastAsia="en-IE"/>
        </w:rPr>
        <w:t xml:space="preserve">the </w:t>
      </w:r>
      <w:r w:rsidR="004600B2">
        <w:rPr>
          <w:lang w:eastAsia="en-IE"/>
        </w:rPr>
        <w:t>projects</w:t>
      </w:r>
      <w:r w:rsidR="002467AC">
        <w:rPr>
          <w:lang w:eastAsia="en-IE"/>
        </w:rPr>
        <w:t xml:space="preserve"> </w:t>
      </w:r>
      <w:r w:rsidR="00CD5553">
        <w:rPr>
          <w:lang w:eastAsia="en-IE"/>
        </w:rPr>
        <w:t>approved</w:t>
      </w:r>
      <w:r w:rsidR="00854501">
        <w:rPr>
          <w:lang w:eastAsia="en-IE"/>
        </w:rPr>
        <w:t>,</w:t>
      </w:r>
      <w:r w:rsidRPr="00844468">
        <w:rPr>
          <w:lang w:eastAsia="en-IE"/>
        </w:rPr>
        <w:t xml:space="preserve"> time factors involve</w:t>
      </w:r>
      <w:r w:rsidR="006041DA">
        <w:rPr>
          <w:lang w:eastAsia="en-IE"/>
        </w:rPr>
        <w:t>d</w:t>
      </w:r>
      <w:r w:rsidR="002467AC">
        <w:rPr>
          <w:lang w:eastAsia="en-IE"/>
        </w:rPr>
        <w:t xml:space="preserve"> in the various projects </w:t>
      </w:r>
      <w:r w:rsidR="00854501">
        <w:rPr>
          <w:lang w:eastAsia="en-IE"/>
        </w:rPr>
        <w:t>and distance of other projects from the Tarbert Island development site</w:t>
      </w:r>
      <w:r w:rsidRPr="00844468">
        <w:rPr>
          <w:lang w:eastAsia="en-IE"/>
        </w:rPr>
        <w:t xml:space="preserve">.  </w:t>
      </w:r>
    </w:p>
    <w:p w14:paraId="3251BD49" w14:textId="59473446" w:rsidR="004B733A" w:rsidRDefault="004B733A" w:rsidP="00655E44">
      <w:pPr>
        <w:pStyle w:val="Heading2"/>
        <w:jc w:val="both"/>
      </w:pPr>
      <w:r>
        <w:t>Mitigation Measures</w:t>
      </w:r>
    </w:p>
    <w:p w14:paraId="5E5C3513" w14:textId="0FC5E748" w:rsidR="004B733A" w:rsidRDefault="00514F4F" w:rsidP="00655E44">
      <w:pPr>
        <w:pStyle w:val="BBody1"/>
        <w:numPr>
          <w:ilvl w:val="0"/>
          <w:numId w:val="0"/>
        </w:numPr>
        <w:jc w:val="both"/>
      </w:pPr>
      <w:r>
        <w:t>Following assessment of the proposed development, considering the impact pathways between the construction works and the QI/SCI, no significant effects are considered likely and thus no specific mitigation measures to protect European sites is considered necessary.  General mitigation measures employed as industry stand best practice have been proposed.</w:t>
      </w:r>
      <w:r w:rsidR="00AF3B20">
        <w:t xml:space="preserve">  </w:t>
      </w:r>
      <w:r w:rsidR="00CF7139">
        <w:rPr>
          <w:lang w:eastAsia="en-IE"/>
        </w:rPr>
        <w:t>The applicant</w:t>
      </w:r>
      <w:r w:rsidR="008E505E">
        <w:rPr>
          <w:lang w:eastAsia="en-IE"/>
        </w:rPr>
        <w:t xml:space="preserve"> has identified a range of mitigation measures to be implemented </w:t>
      </w:r>
      <w:r w:rsidR="00655E44">
        <w:rPr>
          <w:lang w:eastAsia="en-IE"/>
        </w:rPr>
        <w:t xml:space="preserve">by the proposed development, the majority of which are embedded mitigation as part of the project design.  </w:t>
      </w:r>
      <w:r w:rsidR="006C7EF3">
        <w:rPr>
          <w:lang w:eastAsia="en-IE"/>
        </w:rPr>
        <w:t>Mitigation measures include a CEMP</w:t>
      </w:r>
      <w:r w:rsidR="00536660">
        <w:rPr>
          <w:lang w:eastAsia="en-IE"/>
        </w:rPr>
        <w:t xml:space="preserve"> to be implemented by the construction contractor</w:t>
      </w:r>
      <w:r w:rsidR="00675B9B">
        <w:rPr>
          <w:lang w:eastAsia="en-IE"/>
        </w:rPr>
        <w:t xml:space="preserve">.  This </w:t>
      </w:r>
      <w:r w:rsidR="002D3F86">
        <w:rPr>
          <w:lang w:eastAsia="en-IE"/>
        </w:rPr>
        <w:t xml:space="preserve">will include </w:t>
      </w:r>
      <w:proofErr w:type="gramStart"/>
      <w:r w:rsidR="002D3F86">
        <w:rPr>
          <w:lang w:eastAsia="en-IE"/>
        </w:rPr>
        <w:t>a number of</w:t>
      </w:r>
      <w:proofErr w:type="gramEnd"/>
      <w:r w:rsidR="002D3F86">
        <w:rPr>
          <w:lang w:eastAsia="en-IE"/>
        </w:rPr>
        <w:t xml:space="preserve"> pollution prevention measures that </w:t>
      </w:r>
      <w:r w:rsidR="00675B9B">
        <w:rPr>
          <w:lang w:eastAsia="en-IE"/>
        </w:rPr>
        <w:t>will ensure there is no pollution to watercourses, waterbodies or terrestrial habitats</w:t>
      </w:r>
      <w:r w:rsidR="002D3F86">
        <w:rPr>
          <w:lang w:eastAsia="en-IE"/>
        </w:rPr>
        <w:t>.</w:t>
      </w:r>
      <w:r w:rsidR="008D4BA0">
        <w:rPr>
          <w:lang w:eastAsia="en-IE"/>
        </w:rPr>
        <w:t xml:space="preserve">  </w:t>
      </w:r>
      <w:r w:rsidR="001A4BE9">
        <w:rPr>
          <w:lang w:eastAsia="en-IE"/>
        </w:rPr>
        <w:t>(Section 5.3 of Applicants NIS)</w:t>
      </w:r>
    </w:p>
    <w:p w14:paraId="23CEDC91" w14:textId="2A5945D0" w:rsidR="00ED2264" w:rsidRDefault="00ED2264" w:rsidP="00655E44">
      <w:pPr>
        <w:pStyle w:val="BBody1"/>
        <w:numPr>
          <w:ilvl w:val="0"/>
          <w:numId w:val="0"/>
        </w:numPr>
        <w:jc w:val="both"/>
        <w:rPr>
          <w:lang w:eastAsia="en-IE"/>
        </w:rPr>
      </w:pPr>
      <w:r w:rsidRPr="00ED2264">
        <w:rPr>
          <w:lang w:eastAsia="en-IE"/>
        </w:rPr>
        <w:t>I consider the mitigation</w:t>
      </w:r>
      <w:r w:rsidR="006E67C7">
        <w:rPr>
          <w:lang w:eastAsia="en-IE"/>
        </w:rPr>
        <w:t xml:space="preserve"> measures</w:t>
      </w:r>
      <w:r w:rsidRPr="00ED2264">
        <w:rPr>
          <w:lang w:eastAsia="en-IE"/>
        </w:rPr>
        <w:t xml:space="preserve"> outlined in the Applicants NIS to be robust, </w:t>
      </w:r>
      <w:proofErr w:type="gramStart"/>
      <w:r w:rsidRPr="00ED2264">
        <w:rPr>
          <w:lang w:eastAsia="en-IE"/>
        </w:rPr>
        <w:t>appropriate</w:t>
      </w:r>
      <w:proofErr w:type="gramEnd"/>
      <w:r w:rsidRPr="00ED2264">
        <w:rPr>
          <w:lang w:eastAsia="en-IE"/>
        </w:rPr>
        <w:t xml:space="preserve"> and adequate to protect the Qualifying Interests of the European Sites.  I am satisfied that there will be no significant adverse impacts on European Sites subject to compliance with relevant legislation, implementation of the final CEMP </w:t>
      </w:r>
      <w:r w:rsidRPr="00ED2264">
        <w:rPr>
          <w:lang w:eastAsia="en-IE"/>
        </w:rPr>
        <w:lastRenderedPageBreak/>
        <w:t>mitigation measures, which will reiterate all proposed mitigation contained within the NIS and planning documentation and compliance with recommended conditions.</w:t>
      </w:r>
    </w:p>
    <w:p w14:paraId="7652FA65" w14:textId="7EAF8B0E" w:rsidR="00DC50F0" w:rsidRDefault="00DC50F0" w:rsidP="00DC50F0">
      <w:pPr>
        <w:pStyle w:val="Heading2"/>
        <w:jc w:val="both"/>
      </w:pPr>
      <w:r>
        <w:t>Residual Effects</w:t>
      </w:r>
    </w:p>
    <w:p w14:paraId="03485595" w14:textId="36467692" w:rsidR="007D03CD" w:rsidRDefault="007D03CD" w:rsidP="007D03CD">
      <w:pPr>
        <w:pStyle w:val="BBody1"/>
        <w:numPr>
          <w:ilvl w:val="0"/>
          <w:numId w:val="0"/>
        </w:numPr>
        <w:jc w:val="both"/>
      </w:pPr>
      <w:r w:rsidRPr="00543B37">
        <w:t xml:space="preserve">Taking account of the mitigation measures outlined above, I consider that there is no potential for residual adverse effects on </w:t>
      </w:r>
      <w:r w:rsidR="00C9284F" w:rsidRPr="00543B37">
        <w:t xml:space="preserve">the Qualifying Interests of the River Shannon and River Fergus Estuaries SPA (004077) </w:t>
      </w:r>
      <w:r w:rsidR="00485912">
        <w:t xml:space="preserve">including SCI bird species </w:t>
      </w:r>
      <w:r w:rsidR="00C9284F" w:rsidRPr="00543B37">
        <w:t xml:space="preserve">and the </w:t>
      </w:r>
      <w:r w:rsidR="00B342A9">
        <w:t>QI Annex II species</w:t>
      </w:r>
      <w:r w:rsidR="00C9284F" w:rsidRPr="00543B37">
        <w:t xml:space="preserve"> </w:t>
      </w:r>
      <w:r w:rsidR="00B342A9">
        <w:t xml:space="preserve">of the </w:t>
      </w:r>
      <w:r w:rsidR="00B342A9" w:rsidRPr="00543B37">
        <w:t>Lower River Shannon SAC (002165)</w:t>
      </w:r>
      <w:r w:rsidR="00AF3B20">
        <w:t>,</w:t>
      </w:r>
      <w:r w:rsidR="00B342A9">
        <w:t xml:space="preserve"> </w:t>
      </w:r>
      <w:proofErr w:type="gramStart"/>
      <w:r w:rsidRPr="00543B37">
        <w:t>as a result of</w:t>
      </w:r>
      <w:proofErr w:type="gramEnd"/>
      <w:r w:rsidRPr="00543B37">
        <w:t xml:space="preserve"> the proposed development.</w:t>
      </w:r>
      <w:r w:rsidR="00AD4046">
        <w:t xml:space="preserve">  </w:t>
      </w:r>
    </w:p>
    <w:p w14:paraId="59BF9332" w14:textId="2EFE3620" w:rsidR="00D90F7C" w:rsidRPr="007170B3" w:rsidRDefault="00D90F7C" w:rsidP="007D03CD">
      <w:pPr>
        <w:pStyle w:val="BBody1"/>
        <w:numPr>
          <w:ilvl w:val="0"/>
          <w:numId w:val="0"/>
        </w:numPr>
        <w:jc w:val="both"/>
        <w:rPr>
          <w:lang w:val="en-US"/>
        </w:rPr>
      </w:pPr>
      <w:r w:rsidRPr="00D90F7C">
        <w:rPr>
          <w:lang w:val="en-US"/>
        </w:rPr>
        <w:t xml:space="preserve">This conclusion has been based on a complete assessment of all implications of the project alone and in combination with other plans and projects.  </w:t>
      </w:r>
    </w:p>
    <w:p w14:paraId="0BF11B70" w14:textId="6D7A4F1D" w:rsidR="00E32200" w:rsidRDefault="003C0527" w:rsidP="00E32200">
      <w:pPr>
        <w:pStyle w:val="Heading2"/>
        <w:rPr>
          <w:lang w:eastAsia="en-IE"/>
        </w:rPr>
      </w:pPr>
      <w:bookmarkStart w:id="67" w:name="_Toc163607952"/>
      <w:r>
        <w:rPr>
          <w:lang w:eastAsia="en-IE"/>
        </w:rPr>
        <w:t>Appropriate Assessment</w:t>
      </w:r>
      <w:r w:rsidR="00E32200">
        <w:rPr>
          <w:lang w:eastAsia="en-IE"/>
        </w:rPr>
        <w:t xml:space="preserve"> </w:t>
      </w:r>
      <w:r w:rsidR="00E32200" w:rsidRPr="00203A52">
        <w:rPr>
          <w:lang w:eastAsia="en-IE"/>
        </w:rPr>
        <w:t>Conclusion</w:t>
      </w:r>
      <w:bookmarkEnd w:id="67"/>
    </w:p>
    <w:p w14:paraId="6AC3F21A" w14:textId="77777777" w:rsidR="00E622A4" w:rsidRDefault="00E622A4" w:rsidP="00E622A4">
      <w:pPr>
        <w:pStyle w:val="BBody1"/>
        <w:numPr>
          <w:ilvl w:val="0"/>
          <w:numId w:val="0"/>
        </w:numPr>
        <w:jc w:val="both"/>
        <w:rPr>
          <w:lang w:eastAsia="en-IE"/>
        </w:rPr>
      </w:pPr>
      <w:r w:rsidRPr="00990E69">
        <w:rPr>
          <w:lang w:eastAsia="en-IE"/>
        </w:rPr>
        <w:t>I am satisfied that the proposed development individually or in combination with other plans or projects would not adversely affect the integrity of th</w:t>
      </w:r>
      <w:r>
        <w:rPr>
          <w:lang w:eastAsia="en-IE"/>
        </w:rPr>
        <w:t>ese</w:t>
      </w:r>
      <w:r w:rsidRPr="00990E69">
        <w:rPr>
          <w:lang w:eastAsia="en-IE"/>
        </w:rPr>
        <w:t xml:space="preserve"> European site</w:t>
      </w:r>
      <w:r>
        <w:rPr>
          <w:lang w:eastAsia="en-IE"/>
        </w:rPr>
        <w:t>s</w:t>
      </w:r>
      <w:r w:rsidRPr="00990E69">
        <w:rPr>
          <w:lang w:eastAsia="en-IE"/>
        </w:rPr>
        <w:t xml:space="preserve"> </w:t>
      </w:r>
      <w:proofErr w:type="gramStart"/>
      <w:r w:rsidRPr="00990E69">
        <w:rPr>
          <w:lang w:eastAsia="en-IE"/>
        </w:rPr>
        <w:t>in light of</w:t>
      </w:r>
      <w:proofErr w:type="gramEnd"/>
      <w:r w:rsidRPr="00990E69">
        <w:rPr>
          <w:lang w:eastAsia="en-IE"/>
        </w:rPr>
        <w:t xml:space="preserve"> </w:t>
      </w:r>
      <w:r>
        <w:rPr>
          <w:lang w:eastAsia="en-IE"/>
        </w:rPr>
        <w:t>their</w:t>
      </w:r>
      <w:r w:rsidRPr="00990E69">
        <w:rPr>
          <w:lang w:eastAsia="en-IE"/>
        </w:rPr>
        <w:t xml:space="preserve"> conservation objectives (subject to the implementation of mitigation measures outlined above).</w:t>
      </w:r>
    </w:p>
    <w:p w14:paraId="5FB6785D" w14:textId="77777777" w:rsidR="00B87F96" w:rsidRPr="0062425C" w:rsidRDefault="00B87F96" w:rsidP="00B87F96">
      <w:pPr>
        <w:pStyle w:val="Heading2"/>
        <w:rPr>
          <w:lang w:eastAsia="en-IE"/>
        </w:rPr>
      </w:pPr>
      <w:bookmarkStart w:id="68" w:name="_Toc163607953"/>
      <w:bookmarkStart w:id="69" w:name="_Toc163722753"/>
      <w:r w:rsidRPr="001F0F64">
        <w:rPr>
          <w:lang w:eastAsia="en-IE"/>
        </w:rPr>
        <w:t>Appropriate Assessment Conclusions</w:t>
      </w:r>
      <w:bookmarkEnd w:id="68"/>
      <w:bookmarkEnd w:id="69"/>
    </w:p>
    <w:p w14:paraId="76348211" w14:textId="77777777" w:rsidR="00B87F96" w:rsidRDefault="00B87F96" w:rsidP="00B87F96">
      <w:pPr>
        <w:pStyle w:val="BBody1"/>
        <w:numPr>
          <w:ilvl w:val="0"/>
          <w:numId w:val="0"/>
        </w:numPr>
        <w:autoSpaceDE w:val="0"/>
        <w:autoSpaceDN w:val="0"/>
        <w:adjustRightInd w:val="0"/>
        <w:jc w:val="both"/>
        <w:rPr>
          <w:lang w:eastAsia="en-IE"/>
        </w:rPr>
      </w:pPr>
      <w:r>
        <w:rPr>
          <w:lang w:eastAsia="en-IE"/>
        </w:rPr>
        <w:t>The proposed development has been considered under the assessment requirements of Section 177U and 177AE of the Planning and Development Act 2000 and h</w:t>
      </w:r>
      <w:r w:rsidRPr="001F0F64">
        <w:rPr>
          <w:lang w:eastAsia="en-IE"/>
        </w:rPr>
        <w:t>aving regard to</w:t>
      </w:r>
      <w:r>
        <w:rPr>
          <w:lang w:eastAsia="en-IE"/>
        </w:rPr>
        <w:t>:</w:t>
      </w:r>
    </w:p>
    <w:p w14:paraId="576EB0CC" w14:textId="568E4E91" w:rsidR="00B87F96" w:rsidRDefault="00B87F96" w:rsidP="00C6208E">
      <w:pPr>
        <w:pStyle w:val="BBody1"/>
        <w:numPr>
          <w:ilvl w:val="0"/>
          <w:numId w:val="64"/>
        </w:numPr>
        <w:autoSpaceDE w:val="0"/>
        <w:autoSpaceDN w:val="0"/>
        <w:adjustRightInd w:val="0"/>
        <w:jc w:val="both"/>
        <w:rPr>
          <w:lang w:eastAsia="en-IE"/>
        </w:rPr>
      </w:pPr>
      <w:r>
        <w:rPr>
          <w:lang w:eastAsia="en-IE"/>
        </w:rPr>
        <w:t xml:space="preserve">The scientific information on file in respect of </w:t>
      </w:r>
      <w:r w:rsidR="00F80544" w:rsidRPr="00543B37">
        <w:t>the River Shannon and River Fergus Estuaries SPA (004077) and the Lower River Shannon SAC (002165)</w:t>
      </w:r>
      <w:r w:rsidR="00F80544">
        <w:t>.</w:t>
      </w:r>
    </w:p>
    <w:p w14:paraId="4C816E3B" w14:textId="4EBE3510" w:rsidR="00B87F96" w:rsidRDefault="00B87F96" w:rsidP="00C6208E">
      <w:pPr>
        <w:pStyle w:val="BBody1"/>
        <w:numPr>
          <w:ilvl w:val="0"/>
          <w:numId w:val="64"/>
        </w:numPr>
        <w:autoSpaceDE w:val="0"/>
        <w:autoSpaceDN w:val="0"/>
        <w:adjustRightInd w:val="0"/>
        <w:jc w:val="both"/>
        <w:rPr>
          <w:lang w:eastAsia="en-IE"/>
        </w:rPr>
      </w:pPr>
      <w:r>
        <w:t xml:space="preserve">The Development Plan context for the proposed </w:t>
      </w:r>
      <w:r w:rsidR="00F80544">
        <w:t>OCGT power plant</w:t>
      </w:r>
      <w:r>
        <w:t xml:space="preserve"> and the </w:t>
      </w:r>
      <w:r w:rsidR="00537583">
        <w:t xml:space="preserve">temporary </w:t>
      </w:r>
      <w:r>
        <w:t xml:space="preserve">nature </w:t>
      </w:r>
      <w:r w:rsidR="00D72C99">
        <w:t xml:space="preserve">and scale </w:t>
      </w:r>
      <w:r>
        <w:t>of the works proposed.</w:t>
      </w:r>
    </w:p>
    <w:p w14:paraId="5CB212FD" w14:textId="3C7D5FDD" w:rsidR="00B87F96" w:rsidRDefault="00B87F96" w:rsidP="00C6208E">
      <w:pPr>
        <w:pStyle w:val="BBody1"/>
        <w:numPr>
          <w:ilvl w:val="0"/>
          <w:numId w:val="64"/>
        </w:numPr>
        <w:autoSpaceDE w:val="0"/>
        <w:autoSpaceDN w:val="0"/>
        <w:adjustRightInd w:val="0"/>
        <w:jc w:val="both"/>
        <w:rPr>
          <w:lang w:eastAsia="en-IE"/>
        </w:rPr>
      </w:pPr>
      <w:r>
        <w:t xml:space="preserve">The potential impacts and </w:t>
      </w:r>
      <w:r w:rsidR="00FB5B46">
        <w:t xml:space="preserve">general </w:t>
      </w:r>
      <w:r>
        <w:t>mitigation measures proposed for the construction</w:t>
      </w:r>
      <w:r w:rsidR="00FB5B46">
        <w:t>,</w:t>
      </w:r>
      <w:r>
        <w:t xml:space="preserve"> operational</w:t>
      </w:r>
      <w:r w:rsidR="003A13AD">
        <w:t xml:space="preserve"> and decommissioning</w:t>
      </w:r>
      <w:r>
        <w:t xml:space="preserve"> phases of the</w:t>
      </w:r>
      <w:r w:rsidR="003A13AD">
        <w:t xml:space="preserve"> proposed</w:t>
      </w:r>
      <w:r>
        <w:t xml:space="preserve"> development.</w:t>
      </w:r>
    </w:p>
    <w:p w14:paraId="2107F1CB" w14:textId="45B664AF" w:rsidR="00E40DCA" w:rsidRPr="004B5C94" w:rsidRDefault="00B87F96" w:rsidP="00781A9E">
      <w:pPr>
        <w:pStyle w:val="BBody1"/>
        <w:numPr>
          <w:ilvl w:val="0"/>
          <w:numId w:val="0"/>
        </w:numPr>
        <w:autoSpaceDE w:val="0"/>
        <w:autoSpaceDN w:val="0"/>
        <w:adjustRightInd w:val="0"/>
        <w:jc w:val="both"/>
        <w:rPr>
          <w:lang w:eastAsia="en-IE"/>
        </w:rPr>
      </w:pPr>
      <w:r>
        <w:rPr>
          <w:lang w:eastAsia="en-IE"/>
        </w:rPr>
        <w:t xml:space="preserve">This conclusion is based on a complete assessment of all aspects of the proposed project.  </w:t>
      </w:r>
      <w:r w:rsidRPr="006F1EFB">
        <w:rPr>
          <w:lang w:eastAsia="en-IE"/>
        </w:rPr>
        <w:t xml:space="preserve">I consider that it is reasonable to conclude on the basis of the information on </w:t>
      </w:r>
      <w:r w:rsidRPr="006F1EFB">
        <w:rPr>
          <w:lang w:eastAsia="en-IE"/>
        </w:rPr>
        <w:lastRenderedPageBreak/>
        <w:t>the file, which I consider adequate in order to carry out a Stage 2 Appropriate Assessment, that the proposed development, individually or in combination with other plans and projects would</w:t>
      </w:r>
      <w:r>
        <w:rPr>
          <w:lang w:eastAsia="en-IE"/>
        </w:rPr>
        <w:t xml:space="preserve"> / would</w:t>
      </w:r>
      <w:r w:rsidRPr="006F1EFB">
        <w:rPr>
          <w:lang w:eastAsia="en-IE"/>
        </w:rPr>
        <w:t xml:space="preserve"> not adversely affect the integrity of the European site</w:t>
      </w:r>
      <w:r>
        <w:rPr>
          <w:lang w:eastAsia="en-IE"/>
        </w:rPr>
        <w:t xml:space="preserve"> nos. </w:t>
      </w:r>
      <w:r w:rsidR="00F56E8F">
        <w:rPr>
          <w:lang w:eastAsia="en-IE"/>
        </w:rPr>
        <w:t>004077, 002165</w:t>
      </w:r>
      <w:r>
        <w:rPr>
          <w:lang w:eastAsia="en-IE"/>
        </w:rPr>
        <w:t xml:space="preserve"> </w:t>
      </w:r>
      <w:r w:rsidRPr="006F1EFB">
        <w:rPr>
          <w:lang w:eastAsia="en-IE"/>
        </w:rPr>
        <w:t>or any other European site, in view of the site’s Conservation Objectives.</w:t>
      </w:r>
    </w:p>
    <w:p w14:paraId="2107F1CC" w14:textId="08FF4008" w:rsidR="00E40DCA" w:rsidRPr="004B5C94" w:rsidRDefault="00DE7AD8" w:rsidP="00E40DCA">
      <w:pPr>
        <w:pStyle w:val="EHead1"/>
      </w:pPr>
      <w:bookmarkStart w:id="70" w:name="_Toc171346802"/>
      <w:r>
        <w:t>Recommendation</w:t>
      </w:r>
      <w:bookmarkEnd w:id="70"/>
    </w:p>
    <w:p w14:paraId="073D047D" w14:textId="7DC39770" w:rsidR="003178BE" w:rsidRPr="004B5C94" w:rsidRDefault="005C710A" w:rsidP="00D64DDC">
      <w:pPr>
        <w:pStyle w:val="BBody1"/>
        <w:numPr>
          <w:ilvl w:val="0"/>
          <w:numId w:val="0"/>
        </w:numPr>
        <w:jc w:val="both"/>
      </w:pPr>
      <w:r w:rsidRPr="005C710A">
        <w:t xml:space="preserve">Having regard to the foregoing, I recommend that permission for the construction of the Open Cycle Gas Turbine power plant (350MW) and associated infrastructure should be </w:t>
      </w:r>
      <w:r w:rsidRPr="00B72455">
        <w:rPr>
          <w:b/>
          <w:bCs/>
        </w:rPr>
        <w:t>GRANTED</w:t>
      </w:r>
      <w:r w:rsidRPr="005C710A">
        <w:t xml:space="preserve"> permission for the </w:t>
      </w:r>
      <w:r w:rsidR="00500A65">
        <w:t xml:space="preserve">following </w:t>
      </w:r>
      <w:r w:rsidRPr="005C710A">
        <w:t>reasons and considerations subject to conditions.</w:t>
      </w:r>
    </w:p>
    <w:p w14:paraId="2107F1DB" w14:textId="506B2DD3" w:rsidR="00E40DCA" w:rsidRDefault="00DE7AD8" w:rsidP="00E40DCA">
      <w:pPr>
        <w:pStyle w:val="EHead1"/>
      </w:pPr>
      <w:bookmarkStart w:id="71" w:name="_Toc171346803"/>
      <w:r>
        <w:t>Reasons and Considerations</w:t>
      </w:r>
      <w:bookmarkEnd w:id="71"/>
    </w:p>
    <w:p w14:paraId="5D228180" w14:textId="77777777" w:rsidR="00B97A9C" w:rsidRDefault="00B97A9C" w:rsidP="00B97A9C">
      <w:pPr>
        <w:pStyle w:val="DBodyNonum"/>
      </w:pPr>
      <w:r>
        <w:t xml:space="preserve">Having regard </w:t>
      </w:r>
      <w:proofErr w:type="gramStart"/>
      <w:r>
        <w:t>to;</w:t>
      </w:r>
      <w:proofErr w:type="gramEnd"/>
    </w:p>
    <w:p w14:paraId="0FCEF527" w14:textId="77777777" w:rsidR="00B97A9C" w:rsidRDefault="00B97A9C" w:rsidP="00C6208E">
      <w:pPr>
        <w:pStyle w:val="DBodyNonum"/>
        <w:numPr>
          <w:ilvl w:val="0"/>
          <w:numId w:val="67"/>
        </w:numPr>
        <w:tabs>
          <w:tab w:val="left" w:pos="0"/>
        </w:tabs>
      </w:pPr>
      <w:r>
        <w:t xml:space="preserve">County, European, National, Regional, and other support for renewable energy development as follows: </w:t>
      </w:r>
    </w:p>
    <w:p w14:paraId="119F90FE" w14:textId="26884D41" w:rsidR="00B97A9C" w:rsidRPr="00E9473B" w:rsidRDefault="00B97A9C" w:rsidP="00C6208E">
      <w:pPr>
        <w:pStyle w:val="NoSpacing"/>
        <w:numPr>
          <w:ilvl w:val="0"/>
          <w:numId w:val="66"/>
        </w:numPr>
        <w:rPr>
          <w:rFonts w:ascii="Arial" w:hAnsi="Arial" w:cs="Arial"/>
          <w:sz w:val="24"/>
          <w:szCs w:val="24"/>
        </w:rPr>
      </w:pPr>
      <w:r w:rsidRPr="00E9473B">
        <w:rPr>
          <w:rFonts w:ascii="Arial" w:hAnsi="Arial" w:cs="Arial"/>
          <w:sz w:val="24"/>
          <w:szCs w:val="24"/>
        </w:rPr>
        <w:t xml:space="preserve">The Policies set out in the </w:t>
      </w:r>
      <w:r w:rsidR="00F65435" w:rsidRPr="00E9473B">
        <w:rPr>
          <w:rFonts w:ascii="Arial" w:hAnsi="Arial" w:cs="Arial"/>
          <w:sz w:val="24"/>
          <w:szCs w:val="24"/>
        </w:rPr>
        <w:t>Kerry</w:t>
      </w:r>
      <w:r w:rsidRPr="00E9473B">
        <w:rPr>
          <w:rFonts w:ascii="Arial" w:hAnsi="Arial" w:cs="Arial"/>
          <w:sz w:val="24"/>
          <w:szCs w:val="24"/>
        </w:rPr>
        <w:t xml:space="preserve"> County Development Plan 2022 – 2028,</w:t>
      </w:r>
      <w:r w:rsidR="00F65435" w:rsidRPr="00E9473B">
        <w:rPr>
          <w:rFonts w:ascii="Arial" w:hAnsi="Arial" w:cs="Arial"/>
          <w:sz w:val="24"/>
          <w:szCs w:val="24"/>
        </w:rPr>
        <w:t xml:space="preserve"> specifically KCDP 9-25, 9-26 and 12-1</w:t>
      </w:r>
      <w:r w:rsidR="006E5668">
        <w:rPr>
          <w:rFonts w:ascii="Arial" w:hAnsi="Arial" w:cs="Arial"/>
          <w:sz w:val="24"/>
          <w:szCs w:val="24"/>
        </w:rPr>
        <w:t>,</w:t>
      </w:r>
    </w:p>
    <w:p w14:paraId="1449048C" w14:textId="77777777" w:rsidR="0041332E" w:rsidRPr="00E9473B" w:rsidRDefault="0041332E" w:rsidP="00C6208E">
      <w:pPr>
        <w:pStyle w:val="ListParagraph"/>
        <w:numPr>
          <w:ilvl w:val="0"/>
          <w:numId w:val="66"/>
        </w:numPr>
      </w:pPr>
      <w:r w:rsidRPr="00E9473B">
        <w:t>Strategic Integrated Framework Plan for the Shannon Estuary (SIFP)</w:t>
      </w:r>
    </w:p>
    <w:p w14:paraId="50402721" w14:textId="77777777" w:rsidR="0041332E" w:rsidRDefault="0041332E" w:rsidP="00C6208E">
      <w:pPr>
        <w:pStyle w:val="ListParagraph"/>
        <w:numPr>
          <w:ilvl w:val="0"/>
          <w:numId w:val="66"/>
        </w:numPr>
      </w:pPr>
      <w:r w:rsidRPr="00E9473B">
        <w:t>Regional Spatial &amp; Economic Strategy for the Southern Region 2020</w:t>
      </w:r>
    </w:p>
    <w:p w14:paraId="11AE2936" w14:textId="6AE937A9" w:rsidR="00120A62" w:rsidRPr="00E9473B" w:rsidRDefault="00120A62" w:rsidP="00120A62">
      <w:pPr>
        <w:pStyle w:val="ListParagraph"/>
        <w:numPr>
          <w:ilvl w:val="0"/>
          <w:numId w:val="66"/>
        </w:numPr>
      </w:pPr>
      <w:r w:rsidRPr="00E9473B">
        <w:t xml:space="preserve">Listowel Municipal District Local Area Plan 2020 – 2026 </w:t>
      </w:r>
    </w:p>
    <w:p w14:paraId="0F4D7967" w14:textId="77777777" w:rsidR="0041332E" w:rsidRPr="00E9473B" w:rsidRDefault="0041332E" w:rsidP="00C6208E">
      <w:pPr>
        <w:pStyle w:val="ListParagraph"/>
        <w:numPr>
          <w:ilvl w:val="0"/>
          <w:numId w:val="66"/>
        </w:numPr>
      </w:pPr>
      <w:r w:rsidRPr="00E9473B">
        <w:t>Kerry County Council Climate Change Adaptation Strategy 2019-2024</w:t>
      </w:r>
    </w:p>
    <w:p w14:paraId="79D3DA2C" w14:textId="77777777" w:rsidR="0041332E" w:rsidRPr="00E9473B" w:rsidRDefault="00B97A9C" w:rsidP="00C6208E">
      <w:pPr>
        <w:pStyle w:val="ListParagraph"/>
        <w:numPr>
          <w:ilvl w:val="0"/>
          <w:numId w:val="66"/>
        </w:numPr>
      </w:pPr>
      <w:r w:rsidRPr="00E9473B">
        <w:t>RED III (European Renewable Energy Directive (EU/2023/2413)),</w:t>
      </w:r>
    </w:p>
    <w:p w14:paraId="270FAAA4" w14:textId="77777777" w:rsidR="0041332E" w:rsidRPr="00E9473B" w:rsidRDefault="00B97A9C" w:rsidP="00C6208E">
      <w:pPr>
        <w:pStyle w:val="ListParagraph"/>
        <w:numPr>
          <w:ilvl w:val="0"/>
          <w:numId w:val="66"/>
        </w:numPr>
      </w:pPr>
      <w:r w:rsidRPr="00E9473B">
        <w:t>REPowerEU Plan 2022 and Directive EU 2018/2001, as amended 18.05.2022,</w:t>
      </w:r>
    </w:p>
    <w:p w14:paraId="4C2969EA" w14:textId="77777777" w:rsidR="0041332E" w:rsidRPr="00E9473B" w:rsidRDefault="0041332E" w:rsidP="00C6208E">
      <w:pPr>
        <w:pStyle w:val="ListParagraph"/>
        <w:numPr>
          <w:ilvl w:val="0"/>
          <w:numId w:val="66"/>
        </w:numPr>
      </w:pPr>
      <w:r w:rsidRPr="00E9473B">
        <w:t>T</w:t>
      </w:r>
      <w:r w:rsidR="00B97A9C" w:rsidRPr="00E9473B">
        <w:t>he European Green Deal 2020,</w:t>
      </w:r>
    </w:p>
    <w:p w14:paraId="771EBE65" w14:textId="77777777" w:rsidR="0041332E" w:rsidRPr="00E9473B" w:rsidRDefault="00B97A9C" w:rsidP="00C6208E">
      <w:pPr>
        <w:pStyle w:val="ListParagraph"/>
        <w:numPr>
          <w:ilvl w:val="0"/>
          <w:numId w:val="66"/>
        </w:numPr>
      </w:pPr>
      <w:r w:rsidRPr="00E9473B">
        <w:t>The National Planning Framework 2018-2040 (NPF),</w:t>
      </w:r>
    </w:p>
    <w:p w14:paraId="5406C9C1" w14:textId="77777777" w:rsidR="0041332E" w:rsidRPr="00E9473B" w:rsidRDefault="00B97A9C" w:rsidP="00C6208E">
      <w:pPr>
        <w:pStyle w:val="ListParagraph"/>
        <w:numPr>
          <w:ilvl w:val="0"/>
          <w:numId w:val="66"/>
        </w:numPr>
      </w:pPr>
      <w:r w:rsidRPr="00E9473B">
        <w:t xml:space="preserve">The National Development Plan 2021-2030, </w:t>
      </w:r>
    </w:p>
    <w:p w14:paraId="20CF4943" w14:textId="77777777" w:rsidR="0041332E" w:rsidRPr="00E9473B" w:rsidRDefault="00B97A9C" w:rsidP="00C6208E">
      <w:pPr>
        <w:pStyle w:val="ListParagraph"/>
        <w:numPr>
          <w:ilvl w:val="0"/>
          <w:numId w:val="66"/>
        </w:numPr>
      </w:pPr>
      <w:r w:rsidRPr="00E9473B">
        <w:t>The Climate Action and Low Carbon Development (Amendment) Act 2021,</w:t>
      </w:r>
    </w:p>
    <w:p w14:paraId="7500CAED" w14:textId="77777777" w:rsidR="0041332E" w:rsidRPr="00E9473B" w:rsidRDefault="00B97A9C" w:rsidP="00C6208E">
      <w:pPr>
        <w:pStyle w:val="ListParagraph"/>
        <w:numPr>
          <w:ilvl w:val="0"/>
          <w:numId w:val="66"/>
        </w:numPr>
      </w:pPr>
      <w:r w:rsidRPr="00E9473B">
        <w:t>The Climate Action Plan 2024 (CAP 2024),</w:t>
      </w:r>
    </w:p>
    <w:p w14:paraId="41E1ECE0" w14:textId="77777777" w:rsidR="0041332E" w:rsidRPr="00E9473B" w:rsidRDefault="00B97A9C" w:rsidP="00C6208E">
      <w:pPr>
        <w:pStyle w:val="ListParagraph"/>
        <w:numPr>
          <w:ilvl w:val="0"/>
          <w:numId w:val="66"/>
        </w:numPr>
      </w:pPr>
      <w:r w:rsidRPr="00E9473B">
        <w:t>The Energy Security in Ireland to 2030, Energy Security Package, Nov. 2023,</w:t>
      </w:r>
    </w:p>
    <w:p w14:paraId="142439E1" w14:textId="77777777" w:rsidR="0041332E" w:rsidRPr="00E9473B" w:rsidRDefault="00B97A9C" w:rsidP="00C6208E">
      <w:pPr>
        <w:pStyle w:val="ListParagraph"/>
        <w:numPr>
          <w:ilvl w:val="0"/>
          <w:numId w:val="66"/>
        </w:numPr>
      </w:pPr>
      <w:r w:rsidRPr="00E9473B">
        <w:t>The National Energy Security Framework, April 2022,</w:t>
      </w:r>
    </w:p>
    <w:p w14:paraId="075F04FA" w14:textId="77777777" w:rsidR="0041332E" w:rsidRPr="00E9473B" w:rsidRDefault="00B97A9C" w:rsidP="00C6208E">
      <w:pPr>
        <w:pStyle w:val="ListParagraph"/>
        <w:numPr>
          <w:ilvl w:val="0"/>
          <w:numId w:val="66"/>
        </w:numPr>
      </w:pPr>
      <w:r w:rsidRPr="00E9473B">
        <w:t>The Policy Statement on Security of Electricity Supply, November 2021,</w:t>
      </w:r>
    </w:p>
    <w:p w14:paraId="19E2E383" w14:textId="77777777" w:rsidR="0041332E" w:rsidRPr="00E9473B" w:rsidRDefault="00B97A9C" w:rsidP="00C6208E">
      <w:pPr>
        <w:pStyle w:val="ListParagraph"/>
        <w:numPr>
          <w:ilvl w:val="0"/>
          <w:numId w:val="66"/>
        </w:numPr>
      </w:pPr>
      <w:r w:rsidRPr="00E9473B">
        <w:t>The Long-Term Strategy on Greenhouse Gas Emissions Reductions (April 2023),</w:t>
      </w:r>
    </w:p>
    <w:p w14:paraId="797DC022" w14:textId="77777777" w:rsidR="0041332E" w:rsidRPr="00E9473B" w:rsidRDefault="00B97A9C" w:rsidP="00C6208E">
      <w:pPr>
        <w:pStyle w:val="ListParagraph"/>
        <w:numPr>
          <w:ilvl w:val="0"/>
          <w:numId w:val="66"/>
        </w:numPr>
      </w:pPr>
      <w:r w:rsidRPr="00E9473B">
        <w:lastRenderedPageBreak/>
        <w:t xml:space="preserve">The National Climate and Energy Plan 2021-2030 (NCEP), </w:t>
      </w:r>
    </w:p>
    <w:p w14:paraId="6E42E4B6" w14:textId="77777777" w:rsidR="0041332E" w:rsidRPr="00E9473B" w:rsidRDefault="00B97A9C" w:rsidP="00C6208E">
      <w:pPr>
        <w:pStyle w:val="ListParagraph"/>
        <w:numPr>
          <w:ilvl w:val="0"/>
          <w:numId w:val="66"/>
        </w:numPr>
      </w:pPr>
      <w:r w:rsidRPr="00E9473B">
        <w:t>The National Biodiversity Action Plan,</w:t>
      </w:r>
    </w:p>
    <w:p w14:paraId="76547A5A" w14:textId="62931030" w:rsidR="007E03D9" w:rsidRPr="00E9473B" w:rsidRDefault="00B97A9C" w:rsidP="00C6208E">
      <w:pPr>
        <w:pStyle w:val="ListParagraph"/>
        <w:numPr>
          <w:ilvl w:val="0"/>
          <w:numId w:val="66"/>
        </w:numPr>
      </w:pPr>
      <w:r w:rsidRPr="00E9473B">
        <w:t>The All-Island Generation Capacity Statement 2022 – 2031</w:t>
      </w:r>
      <w:r w:rsidR="007018A9">
        <w:t>,</w:t>
      </w:r>
    </w:p>
    <w:p w14:paraId="3C0D6DD2" w14:textId="5374F459" w:rsidR="00B97A9C" w:rsidRDefault="00B97A9C" w:rsidP="00C6208E">
      <w:pPr>
        <w:pStyle w:val="DBodyNonum"/>
        <w:numPr>
          <w:ilvl w:val="0"/>
          <w:numId w:val="65"/>
        </w:numPr>
        <w:tabs>
          <w:tab w:val="left" w:pos="0"/>
        </w:tabs>
      </w:pPr>
      <w:r>
        <w:t>The documentation submitted with the planning application including the Environmental Impact Assessment Report (EIAR)</w:t>
      </w:r>
      <w:r w:rsidR="00E9473B">
        <w:t xml:space="preserve">, </w:t>
      </w:r>
      <w:r>
        <w:t>Appropriate Assessment Screening</w:t>
      </w:r>
      <w:r w:rsidR="007E03D9">
        <w:t xml:space="preserve"> and NIS</w:t>
      </w:r>
      <w:r>
        <w:t>,</w:t>
      </w:r>
    </w:p>
    <w:p w14:paraId="6A3AEF52" w14:textId="77777777" w:rsidR="00B97A9C" w:rsidRDefault="00B97A9C" w:rsidP="00C6208E">
      <w:pPr>
        <w:pStyle w:val="DBodyNonum"/>
        <w:numPr>
          <w:ilvl w:val="0"/>
          <w:numId w:val="65"/>
        </w:numPr>
        <w:tabs>
          <w:tab w:val="left" w:pos="0"/>
        </w:tabs>
      </w:pPr>
      <w:r>
        <w:t>The submissions made in connection with the application,</w:t>
      </w:r>
    </w:p>
    <w:p w14:paraId="71FC1B6A" w14:textId="56F4FA2D" w:rsidR="00B97A9C" w:rsidRPr="0003023E" w:rsidRDefault="00B97A9C" w:rsidP="00C6208E">
      <w:pPr>
        <w:pStyle w:val="DBodyNonum"/>
        <w:numPr>
          <w:ilvl w:val="0"/>
          <w:numId w:val="65"/>
        </w:numPr>
        <w:tabs>
          <w:tab w:val="left" w:pos="0"/>
        </w:tabs>
      </w:pPr>
      <w:r w:rsidRPr="0003023E">
        <w:t>Mitigation measures proposed for the construction</w:t>
      </w:r>
      <w:r w:rsidR="00AA44FA">
        <w:t xml:space="preserve">, </w:t>
      </w:r>
      <w:r w:rsidRPr="0003023E">
        <w:t>operation</w:t>
      </w:r>
      <w:r>
        <w:t xml:space="preserve"> and decommissioning</w:t>
      </w:r>
      <w:r w:rsidRPr="0003023E">
        <w:t xml:space="preserve"> of the site,</w:t>
      </w:r>
    </w:p>
    <w:p w14:paraId="01EA26AE" w14:textId="77777777" w:rsidR="00B97A9C" w:rsidRDefault="00B97A9C" w:rsidP="00C6208E">
      <w:pPr>
        <w:pStyle w:val="DBodyNonum"/>
        <w:numPr>
          <w:ilvl w:val="0"/>
          <w:numId w:val="65"/>
        </w:numPr>
        <w:tabs>
          <w:tab w:val="left" w:pos="0"/>
        </w:tabs>
      </w:pPr>
      <w:r>
        <w:t>The pattern of development in the area,</w:t>
      </w:r>
    </w:p>
    <w:p w14:paraId="0EDA8840" w14:textId="77777777" w:rsidR="00B97A9C" w:rsidRDefault="00B97A9C" w:rsidP="00C6208E">
      <w:pPr>
        <w:pStyle w:val="DBodyNonum"/>
        <w:numPr>
          <w:ilvl w:val="0"/>
          <w:numId w:val="65"/>
        </w:numPr>
        <w:tabs>
          <w:tab w:val="left" w:pos="0"/>
        </w:tabs>
      </w:pPr>
      <w:r>
        <w:t xml:space="preserve">The separation distances between the proposed development and dwellings or other sensitive receptors, </w:t>
      </w:r>
    </w:p>
    <w:p w14:paraId="70A9CB14" w14:textId="77777777" w:rsidR="00B97A9C" w:rsidRDefault="00B97A9C" w:rsidP="00C6208E">
      <w:pPr>
        <w:pStyle w:val="DBodyNonum"/>
        <w:numPr>
          <w:ilvl w:val="0"/>
          <w:numId w:val="65"/>
        </w:numPr>
        <w:tabs>
          <w:tab w:val="left" w:pos="0"/>
        </w:tabs>
      </w:pPr>
      <w:r>
        <w:t>The likely consequences for the environment and the proper planning and sustainable development of the area in which it is proposed to carry out the proposed development and the absence of likely significant effects of the proposed development on European Sites.</w:t>
      </w:r>
    </w:p>
    <w:p w14:paraId="3C92A888" w14:textId="32CF2CB8" w:rsidR="00DE7AD8" w:rsidRDefault="00DE7AD8" w:rsidP="00465B95">
      <w:pPr>
        <w:pStyle w:val="Heading2"/>
      </w:pPr>
      <w:r>
        <w:t>Proper Planning and Sustainable Development</w:t>
      </w:r>
    </w:p>
    <w:p w14:paraId="6DEB82B3" w14:textId="61471CEF" w:rsidR="00465B95" w:rsidRDefault="00C95A24" w:rsidP="0009371B">
      <w:pPr>
        <w:pStyle w:val="BBody1"/>
        <w:numPr>
          <w:ilvl w:val="0"/>
          <w:numId w:val="0"/>
        </w:numPr>
        <w:jc w:val="both"/>
      </w:pPr>
      <w:r>
        <w:t xml:space="preserve">It is considered that, subject to compliance with the conditions set out below, the proposed development would be in accordance with European, </w:t>
      </w:r>
      <w:r w:rsidR="00F4347C">
        <w:t>N</w:t>
      </w:r>
      <w:r>
        <w:t xml:space="preserve">ational, and </w:t>
      </w:r>
      <w:r w:rsidR="00F4347C">
        <w:t>R</w:t>
      </w:r>
      <w:r>
        <w:t xml:space="preserve">egional renewable energy policies and with the provisions of </w:t>
      </w:r>
      <w:r w:rsidR="00F4347C">
        <w:t xml:space="preserve">Local policy including </w:t>
      </w:r>
      <w:r>
        <w:t xml:space="preserve">the </w:t>
      </w:r>
      <w:r w:rsidR="00CA5A0B">
        <w:t>Kerry</w:t>
      </w:r>
      <w:r>
        <w:t xml:space="preserve"> County Development Plan 2022-2028, be consistent with the obligations of the Climate Action Plan 2024, would not seriously injure the visual amenities of the area or have an unacceptable impact on the character of the landscape, would not have a significant adverse impact on ecology, would be acceptable in terms of traffic safety and would make a positive contribution to Ireland's renewable energy and security of energy supply requirements. The proposed development would therefore be in accordance with the proper planning and sustainable development of the area.</w:t>
      </w:r>
    </w:p>
    <w:p w14:paraId="209FE5D1" w14:textId="442C1276" w:rsidR="00DE7AD8" w:rsidRDefault="00465B95" w:rsidP="00465B95">
      <w:pPr>
        <w:pStyle w:val="Heading2"/>
      </w:pPr>
      <w:r>
        <w:lastRenderedPageBreak/>
        <w:t>Likely Effects on the Environment/Environmental Impact Assessment</w:t>
      </w:r>
    </w:p>
    <w:p w14:paraId="0B75D7FE" w14:textId="77777777" w:rsidR="0034034C" w:rsidRDefault="0034034C" w:rsidP="0034034C">
      <w:pPr>
        <w:pStyle w:val="DBodyNonum"/>
      </w:pPr>
      <w:r w:rsidRPr="001F2D99">
        <w:t>The Board completed an environmental impact assessment of the proposed development taking account of:</w:t>
      </w:r>
    </w:p>
    <w:p w14:paraId="42EBEE8F" w14:textId="77777777" w:rsidR="0034034C" w:rsidRDefault="0034034C" w:rsidP="00C6208E">
      <w:pPr>
        <w:pStyle w:val="DBodyNonum"/>
        <w:numPr>
          <w:ilvl w:val="0"/>
          <w:numId w:val="69"/>
        </w:numPr>
        <w:tabs>
          <w:tab w:val="left" w:pos="0"/>
        </w:tabs>
      </w:pPr>
      <w:r>
        <w:t xml:space="preserve">the transitionary nature of the proposed development which will operate as and when needed to ensure security of electricity supply, </w:t>
      </w:r>
    </w:p>
    <w:p w14:paraId="702BC222" w14:textId="0251B8F2" w:rsidR="0034034C" w:rsidRDefault="0034034C" w:rsidP="00C6208E">
      <w:pPr>
        <w:pStyle w:val="DBodyNonum"/>
        <w:numPr>
          <w:ilvl w:val="0"/>
          <w:numId w:val="69"/>
        </w:numPr>
        <w:tabs>
          <w:tab w:val="left" w:pos="0"/>
        </w:tabs>
      </w:pPr>
      <w:r>
        <w:t xml:space="preserve">the scale and location of the proposed development within a long established industrial and energy generating site, </w:t>
      </w:r>
    </w:p>
    <w:p w14:paraId="59C3788D" w14:textId="77777777" w:rsidR="0034034C" w:rsidRDefault="0034034C" w:rsidP="00C6208E">
      <w:pPr>
        <w:pStyle w:val="DBodyNonum"/>
        <w:numPr>
          <w:ilvl w:val="0"/>
          <w:numId w:val="69"/>
        </w:numPr>
        <w:tabs>
          <w:tab w:val="left" w:pos="0"/>
        </w:tabs>
      </w:pPr>
      <w:r>
        <w:t xml:space="preserve">the Environmental Impact Assessment Report (EIAR) and associated documentation submitted in support of the application, </w:t>
      </w:r>
    </w:p>
    <w:p w14:paraId="3AF4B022" w14:textId="3978D493" w:rsidR="0034034C" w:rsidRDefault="0034034C" w:rsidP="00C6208E">
      <w:pPr>
        <w:pStyle w:val="DBodyNonum"/>
        <w:numPr>
          <w:ilvl w:val="0"/>
          <w:numId w:val="69"/>
        </w:numPr>
        <w:tabs>
          <w:tab w:val="left" w:pos="0"/>
        </w:tabs>
      </w:pPr>
      <w:r>
        <w:t xml:space="preserve">the Screening for Appropriate Assessment </w:t>
      </w:r>
      <w:r w:rsidR="009F1C30">
        <w:t xml:space="preserve">and NIS </w:t>
      </w:r>
      <w:r>
        <w:t xml:space="preserve">and associated documentation submitted in support of the application, </w:t>
      </w:r>
    </w:p>
    <w:p w14:paraId="5815EC4E" w14:textId="34B38457" w:rsidR="0034034C" w:rsidRDefault="0034034C" w:rsidP="00C6208E">
      <w:pPr>
        <w:pStyle w:val="DBodyNonum"/>
        <w:numPr>
          <w:ilvl w:val="0"/>
          <w:numId w:val="69"/>
        </w:numPr>
        <w:tabs>
          <w:tab w:val="left" w:pos="0"/>
        </w:tabs>
      </w:pPr>
      <w:r>
        <w:t>the planning authority reports, and the submissions received from the Observer</w:t>
      </w:r>
      <w:r w:rsidR="006D52D2">
        <w:t>s</w:t>
      </w:r>
      <w:r>
        <w:t xml:space="preserve"> and Prescribed Bodies, and </w:t>
      </w:r>
    </w:p>
    <w:p w14:paraId="5C175203" w14:textId="77777777" w:rsidR="0034034C" w:rsidRDefault="0034034C" w:rsidP="00C6208E">
      <w:pPr>
        <w:pStyle w:val="DBodyNonum"/>
        <w:numPr>
          <w:ilvl w:val="0"/>
          <w:numId w:val="69"/>
        </w:numPr>
        <w:tabs>
          <w:tab w:val="left" w:pos="0"/>
        </w:tabs>
      </w:pPr>
      <w:r>
        <w:t>the Inspector’s report.</w:t>
      </w:r>
    </w:p>
    <w:p w14:paraId="1EF239EF" w14:textId="4E3E531E" w:rsidR="0034034C" w:rsidRDefault="0034034C" w:rsidP="004B1FD6">
      <w:pPr>
        <w:pStyle w:val="DBodyNonum"/>
      </w:pPr>
      <w:r>
        <w:t xml:space="preserve">The Board considered that the environmental impact assessment report, supported by the documentation submitted by the applicant, adequately considers alternatives to the proposed development, and identifies and describes adequately the direct, indirect, </w:t>
      </w:r>
      <w:proofErr w:type="gramStart"/>
      <w:r>
        <w:t>residual</w:t>
      </w:r>
      <w:proofErr w:type="gramEnd"/>
      <w:r>
        <w:t xml:space="preserve"> and cumulative effects of the proposed development on the environment. The Board agreed with the examination, set out in the Inspector’s report, of the information contained in the environmental impact assessment report and associated documentation submitted by the applicant and submissions made </w:t>
      </w:r>
      <w:proofErr w:type="gramStart"/>
      <w:r>
        <w:t>in the course of</w:t>
      </w:r>
      <w:proofErr w:type="gramEnd"/>
      <w:r>
        <w:t xml:space="preserve"> the application.</w:t>
      </w:r>
    </w:p>
    <w:p w14:paraId="4DA54284" w14:textId="77777777" w:rsidR="0034034C" w:rsidRDefault="0034034C" w:rsidP="004B1FD6">
      <w:pPr>
        <w:pStyle w:val="BBody1"/>
        <w:numPr>
          <w:ilvl w:val="0"/>
          <w:numId w:val="0"/>
        </w:numPr>
        <w:jc w:val="both"/>
      </w:pPr>
      <w:r>
        <w:t>The Board considered that the main significant direct and indirect effects of the proposed development on the environment are, and would be mitigated as follows:</w:t>
      </w:r>
    </w:p>
    <w:p w14:paraId="57F5A0BC" w14:textId="385BC831" w:rsidR="0034034C" w:rsidRPr="00FB6B66" w:rsidRDefault="0034034C" w:rsidP="00C6208E">
      <w:pPr>
        <w:pStyle w:val="BBody1"/>
        <w:numPr>
          <w:ilvl w:val="0"/>
          <w:numId w:val="68"/>
        </w:numPr>
        <w:tabs>
          <w:tab w:val="left" w:pos="0"/>
        </w:tabs>
        <w:jc w:val="both"/>
      </w:pPr>
      <w:r w:rsidRPr="00FB6B66">
        <w:t xml:space="preserve">Negative impacts on </w:t>
      </w:r>
      <w:r w:rsidRPr="00FB6B66">
        <w:rPr>
          <w:b/>
          <w:bCs/>
        </w:rPr>
        <w:t>biodiversity</w:t>
      </w:r>
      <w:r w:rsidRPr="00FB6B66">
        <w:t xml:space="preserve"> arising from construction and decommissioning activities.  The proposed development would give rise to </w:t>
      </w:r>
      <w:r w:rsidR="008A16D8" w:rsidRPr="00FB6B66">
        <w:t xml:space="preserve">significant </w:t>
      </w:r>
      <w:r w:rsidRPr="00FB6B66">
        <w:t>localised impacts.  These impacts will be mitigated through the adherence to best practice construction measures and the implementation of a final CEMP.</w:t>
      </w:r>
      <w:r w:rsidR="00FB6B66" w:rsidRPr="00FB6B66">
        <w:t xml:space="preserve">  Excavations will be left with a method of escape</w:t>
      </w:r>
      <w:r w:rsidR="00F9349E">
        <w:t xml:space="preserve"> for ma</w:t>
      </w:r>
      <w:r w:rsidR="00884503">
        <w:t>mmals</w:t>
      </w:r>
      <w:r w:rsidR="00FB6B66" w:rsidRPr="00FB6B66">
        <w:t xml:space="preserve"> and </w:t>
      </w:r>
      <w:r w:rsidR="00F143AB">
        <w:t>b</w:t>
      </w:r>
      <w:r w:rsidR="00FB6B66" w:rsidRPr="00FB6B66">
        <w:t xml:space="preserve">reeding </w:t>
      </w:r>
      <w:r w:rsidR="00F143AB">
        <w:t>b</w:t>
      </w:r>
      <w:r w:rsidR="00FB6B66" w:rsidRPr="00FB6B66">
        <w:t>irds and nesting locations will be safeguarded.</w:t>
      </w:r>
      <w:r w:rsidRPr="00FB6B66">
        <w:t xml:space="preserve">  </w:t>
      </w:r>
    </w:p>
    <w:p w14:paraId="0CB97558" w14:textId="3372EAC8" w:rsidR="001F664D" w:rsidRPr="00DA1A8A" w:rsidRDefault="00DA1A8A" w:rsidP="00C6208E">
      <w:pPr>
        <w:pStyle w:val="BBody1"/>
        <w:numPr>
          <w:ilvl w:val="0"/>
          <w:numId w:val="68"/>
        </w:numPr>
        <w:tabs>
          <w:tab w:val="left" w:pos="0"/>
        </w:tabs>
        <w:jc w:val="both"/>
      </w:pPr>
      <w:r w:rsidRPr="00DA1A8A">
        <w:lastRenderedPageBreak/>
        <w:t xml:space="preserve">Temporary </w:t>
      </w:r>
      <w:r w:rsidR="009515F4" w:rsidRPr="00DA1A8A">
        <w:t xml:space="preserve">Adverse impact on </w:t>
      </w:r>
      <w:r w:rsidR="009515F4" w:rsidRPr="00DA1A8A">
        <w:rPr>
          <w:b/>
          <w:bCs/>
        </w:rPr>
        <w:t>landscape and visual</w:t>
      </w:r>
      <w:r w:rsidR="009515F4" w:rsidRPr="00DA1A8A">
        <w:t xml:space="preserve"> </w:t>
      </w:r>
      <w:r w:rsidRPr="00DA1A8A">
        <w:t xml:space="preserve">during construction due to </w:t>
      </w:r>
      <w:r w:rsidR="0038450E">
        <w:t xml:space="preserve">temporary site infrastructure such as machinery etc.  </w:t>
      </w:r>
      <w:r w:rsidR="00F775EA">
        <w:t>This will be for a limited time and mitigation will include limited use of lighting</w:t>
      </w:r>
      <w:r w:rsidR="00C52C22">
        <w:t xml:space="preserve"> including directional lighting etc.</w:t>
      </w:r>
    </w:p>
    <w:p w14:paraId="7F9136F2" w14:textId="03C9EB45" w:rsidR="001F664D" w:rsidRDefault="00A62F33" w:rsidP="00C6208E">
      <w:pPr>
        <w:pStyle w:val="BBody1"/>
        <w:numPr>
          <w:ilvl w:val="0"/>
          <w:numId w:val="68"/>
        </w:numPr>
        <w:tabs>
          <w:tab w:val="left" w:pos="0"/>
        </w:tabs>
        <w:jc w:val="both"/>
      </w:pPr>
      <w:r w:rsidRPr="007128D3">
        <w:rPr>
          <w:b/>
          <w:bCs/>
        </w:rPr>
        <w:t xml:space="preserve">Noise </w:t>
      </w:r>
      <w:r w:rsidRPr="007128D3">
        <w:t>effects on NSR 1 will occur during the peak month</w:t>
      </w:r>
      <w:r w:rsidR="00631BEF" w:rsidRPr="007128D3">
        <w:t xml:space="preserve"> of construction</w:t>
      </w:r>
      <w:r w:rsidRPr="007128D3">
        <w:t>.  This impact will be temporary and short</w:t>
      </w:r>
      <w:r w:rsidR="00631BEF" w:rsidRPr="007128D3">
        <w:t>-term.  Mitigation will include the selection of quieter plant</w:t>
      </w:r>
      <w:r w:rsidR="00A111A7" w:rsidRPr="007128D3">
        <w:t xml:space="preserve"> and general mitigation measures comprising those in BS 5228-1</w:t>
      </w:r>
      <w:r w:rsidR="007128D3" w:rsidRPr="007128D3">
        <w:t xml:space="preserve"> Table B.1.</w:t>
      </w:r>
    </w:p>
    <w:p w14:paraId="4004A830" w14:textId="302B2302" w:rsidR="00782AED" w:rsidRDefault="00782AED" w:rsidP="00782AED">
      <w:pPr>
        <w:pStyle w:val="BBody1"/>
        <w:numPr>
          <w:ilvl w:val="0"/>
          <w:numId w:val="0"/>
        </w:numPr>
        <w:tabs>
          <w:tab w:val="left" w:pos="0"/>
        </w:tabs>
        <w:ind w:left="720"/>
        <w:jc w:val="both"/>
      </w:pPr>
      <w:r w:rsidRPr="00782AED">
        <w:t xml:space="preserve">During operation </w:t>
      </w:r>
      <w:r w:rsidRPr="00782AED">
        <w:rPr>
          <w:b/>
          <w:bCs/>
        </w:rPr>
        <w:t>noise</w:t>
      </w:r>
      <w:r w:rsidRPr="00782AED">
        <w:t xml:space="preserve"> </w:t>
      </w:r>
      <w:r>
        <w:t xml:space="preserve">will </w:t>
      </w:r>
      <w:r w:rsidR="00BE7DA9">
        <w:t>impact NSR1.  This is considered a long</w:t>
      </w:r>
      <w:r w:rsidR="000E1898">
        <w:t>-</w:t>
      </w:r>
      <w:r w:rsidR="00BE7DA9">
        <w:t xml:space="preserve">term </w:t>
      </w:r>
      <w:r w:rsidR="000E1898">
        <w:t>/</w:t>
      </w:r>
      <w:r w:rsidR="00CD0C9E">
        <w:t xml:space="preserve"> </w:t>
      </w:r>
      <w:r w:rsidR="00BE7DA9">
        <w:t xml:space="preserve">reversible effect.  </w:t>
      </w:r>
      <w:r w:rsidR="00AA5CE3">
        <w:t>This will be mitigated by implementing minimum acoustic requirements on the performance of an acoustic gas turbine air intake louvre and gas turbine building envelope including wall/roof construction</w:t>
      </w:r>
      <w:r w:rsidR="008071FC">
        <w:t>.</w:t>
      </w:r>
    </w:p>
    <w:p w14:paraId="7883928A" w14:textId="5270F72D" w:rsidR="00985B6D" w:rsidRPr="00782AED" w:rsidRDefault="00985B6D" w:rsidP="00C6208E">
      <w:pPr>
        <w:pStyle w:val="BBody1"/>
        <w:numPr>
          <w:ilvl w:val="0"/>
          <w:numId w:val="68"/>
        </w:numPr>
        <w:tabs>
          <w:tab w:val="left" w:pos="0"/>
        </w:tabs>
        <w:jc w:val="both"/>
      </w:pPr>
      <w:r>
        <w:t>During construction</w:t>
      </w:r>
      <w:r w:rsidR="00AB608F">
        <w:t xml:space="preserve">, there will be temporary negative </w:t>
      </w:r>
      <w:r w:rsidR="00AB608F" w:rsidRPr="00CD0C9E">
        <w:rPr>
          <w:b/>
          <w:bCs/>
        </w:rPr>
        <w:t>Traffic and Transport</w:t>
      </w:r>
      <w:r w:rsidR="00AB608F">
        <w:t xml:space="preserve"> effect with HGV construction traffic flow generated by the development on minor roads</w:t>
      </w:r>
      <w:r w:rsidR="00CD0C9E">
        <w:t>.  This will be mitigated by the implementation of the detailed Construction Traffic Management Plan (CTMP).</w:t>
      </w:r>
    </w:p>
    <w:p w14:paraId="2B087772" w14:textId="3BB38F9B" w:rsidR="006647E3" w:rsidRDefault="0034034C" w:rsidP="00010275">
      <w:pPr>
        <w:pStyle w:val="BBody1"/>
        <w:numPr>
          <w:ilvl w:val="0"/>
          <w:numId w:val="0"/>
        </w:numPr>
        <w:jc w:val="both"/>
      </w:pPr>
      <w:r>
        <w:t>The Board completed an environmental impact assessment in relation to the proposed development and concluded that, subject to the implementation of the mitigation measures proposed, and subject to compliance with the conditions set out below, the effects of the proposed development on the environment, by itself and in combination with other plans and projects in the vicinity would be acceptable.  In doing so, the Board adopted the report and conclusions of the Inspector.</w:t>
      </w:r>
    </w:p>
    <w:p w14:paraId="7D504488" w14:textId="6A30B25D" w:rsidR="00465B95" w:rsidRPr="0007194C" w:rsidRDefault="00465B95" w:rsidP="0007194C">
      <w:pPr>
        <w:pStyle w:val="Heading2"/>
      </w:pPr>
      <w:r w:rsidRPr="0007194C">
        <w:t>Appropriate Assessment: Stage 1</w:t>
      </w:r>
    </w:p>
    <w:p w14:paraId="5A19BA4A" w14:textId="25D45137" w:rsidR="001B558D" w:rsidRDefault="000A5D7C" w:rsidP="0007194C">
      <w:pPr>
        <w:pStyle w:val="BBody1"/>
        <w:numPr>
          <w:ilvl w:val="0"/>
          <w:numId w:val="0"/>
        </w:numPr>
        <w:jc w:val="both"/>
      </w:pPr>
      <w:r w:rsidRPr="00F366B5">
        <w:t xml:space="preserve">The Board considered the Screening Report for Appropriate Assessment and all other relevant submissions and carried out an appropriate assessment screening exercise in relation to the potential effects of the proposed development on designated European sites. The Board noted that the proposed development is not directly connected with or necessary for the management of </w:t>
      </w:r>
      <w:r w:rsidR="001B558D">
        <w:t xml:space="preserve">any European Site </w:t>
      </w:r>
      <w:r w:rsidRPr="00F366B5">
        <w:t xml:space="preserve">and considered the nature, scale, and location of the proposed development, as well as the report of the Inspector. </w:t>
      </w:r>
      <w:r w:rsidR="001B558D">
        <w:t xml:space="preserve"> </w:t>
      </w:r>
      <w:r w:rsidRPr="00F366B5">
        <w:t xml:space="preserve">The Board agreed with the screening exercise carried out by the Inspector. </w:t>
      </w:r>
    </w:p>
    <w:p w14:paraId="1D8B1697" w14:textId="5A46374A" w:rsidR="000A5D7C" w:rsidRPr="00CC78FF" w:rsidRDefault="000A5D7C" w:rsidP="0007194C">
      <w:pPr>
        <w:pStyle w:val="BBody1"/>
        <w:numPr>
          <w:ilvl w:val="0"/>
          <w:numId w:val="0"/>
        </w:numPr>
        <w:jc w:val="both"/>
      </w:pPr>
      <w:r w:rsidRPr="00F366B5">
        <w:lastRenderedPageBreak/>
        <w:t>The Board concluded that, having regard to the qualifying interests for which the site</w:t>
      </w:r>
      <w:r w:rsidR="00A36A09">
        <w:t>s</w:t>
      </w:r>
      <w:r w:rsidRPr="00F366B5">
        <w:t xml:space="preserve"> w</w:t>
      </w:r>
      <w:r w:rsidR="00A36A09">
        <w:t>ere</w:t>
      </w:r>
      <w:r w:rsidRPr="00F366B5">
        <w:t xml:space="preserve"> designated and in the absence of connections to and distance between the application site</w:t>
      </w:r>
      <w:r w:rsidR="00A36A09">
        <w:t xml:space="preserve"> and </w:t>
      </w:r>
      <w:r w:rsidR="00673F84">
        <w:t xml:space="preserve">the European sites, including </w:t>
      </w:r>
      <w:r w:rsidR="00A84672">
        <w:t>Stack's to Mullaghareirk Mountains, West Limerick Hills and Mount Eagle SPA [004161]</w:t>
      </w:r>
      <w:r w:rsidR="001B05FC">
        <w:t xml:space="preserve">, </w:t>
      </w:r>
      <w:r w:rsidR="00A84672">
        <w:t>Moanveanlagh Bog SAC [002351</w:t>
      </w:r>
      <w:r w:rsidR="001B05FC">
        <w:t xml:space="preserve">, </w:t>
      </w:r>
      <w:r w:rsidR="00A84672">
        <w:t>Blasket Islands SAC [002172]</w:t>
      </w:r>
      <w:r w:rsidR="001B05FC">
        <w:t xml:space="preserve">, </w:t>
      </w:r>
      <w:r w:rsidR="00A84672">
        <w:t>Kilkieran Bay and Islands SAC [002111]</w:t>
      </w:r>
      <w:r w:rsidR="001B05FC">
        <w:t xml:space="preserve">, </w:t>
      </w:r>
      <w:r w:rsidR="00A84672">
        <w:rPr>
          <w:lang w:eastAsia="en-IE"/>
        </w:rPr>
        <w:t>S</w:t>
      </w:r>
      <w:r w:rsidR="00A84672">
        <w:t>lyne Head Islands SAC [000328]</w:t>
      </w:r>
      <w:r w:rsidR="00F72717">
        <w:t>, they</w:t>
      </w:r>
      <w:r w:rsidR="001B05FC">
        <w:t xml:space="preserve"> </w:t>
      </w:r>
      <w:r w:rsidRPr="00F366B5">
        <w:t xml:space="preserve">could be screened out from further consideration and that the proposed development, individually or in combination with other plans or </w:t>
      </w:r>
      <w:r w:rsidRPr="00CC78FF">
        <w:t>projects would not be likely to have significant effects on th</w:t>
      </w:r>
      <w:r w:rsidR="00271FB4" w:rsidRPr="00CC78FF">
        <w:t>ese</w:t>
      </w:r>
      <w:r w:rsidRPr="00CC78FF">
        <w:t xml:space="preserve"> European Site</w:t>
      </w:r>
      <w:r w:rsidR="00271FB4" w:rsidRPr="00CC78FF">
        <w:t>s</w:t>
      </w:r>
      <w:r w:rsidRPr="00CC78FF">
        <w:t xml:space="preserve"> or any other European Site in view of the sites’ conservation objectives and that a Stage 2 appropriate assessment is therefore not required in relation to th</w:t>
      </w:r>
      <w:r w:rsidR="00271FB4" w:rsidRPr="00CC78FF">
        <w:t>ese</w:t>
      </w:r>
      <w:r w:rsidRPr="00CC78FF">
        <w:t xml:space="preserve"> European Site</w:t>
      </w:r>
      <w:r w:rsidR="00CF1445">
        <w:t>s</w:t>
      </w:r>
      <w:r w:rsidRPr="00CC78FF">
        <w:t>.</w:t>
      </w:r>
      <w:r w:rsidR="00CC78FF" w:rsidRPr="00CC78FF">
        <w:t xml:space="preserve">  </w:t>
      </w:r>
      <w:r w:rsidRPr="00CC78FF">
        <w:t xml:space="preserve">The Board considered that an appropriate assessment of the implications of the proposed development for the </w:t>
      </w:r>
      <w:r w:rsidR="00CC78FF" w:rsidRPr="00CC78FF">
        <w:rPr>
          <w:lang w:val="en-US"/>
        </w:rPr>
        <w:t>the River Shannon and River Fergus Estuaries SPA (004077)</w:t>
      </w:r>
      <w:r w:rsidR="00CC78FF" w:rsidRPr="00CC78FF">
        <w:t xml:space="preserve"> and </w:t>
      </w:r>
      <w:r w:rsidR="00CC78FF" w:rsidRPr="00CC78FF">
        <w:rPr>
          <w:lang w:val="en-US"/>
        </w:rPr>
        <w:t>the Lower River Shannon SAC (002165)</w:t>
      </w:r>
      <w:r w:rsidR="00CC78FF" w:rsidRPr="00CC78FF">
        <w:t xml:space="preserve"> </w:t>
      </w:r>
      <w:r w:rsidRPr="00CC78FF">
        <w:t>required further investigation.</w:t>
      </w:r>
    </w:p>
    <w:p w14:paraId="6FA54B50" w14:textId="77777777" w:rsidR="0007194C" w:rsidRDefault="0007194C" w:rsidP="0007194C">
      <w:pPr>
        <w:pStyle w:val="Heading2"/>
      </w:pPr>
      <w:r>
        <w:t>Appropriate Assessment: Stage 2</w:t>
      </w:r>
    </w:p>
    <w:p w14:paraId="757BB349" w14:textId="00E8F68E" w:rsidR="003178BE" w:rsidRPr="004B5C94" w:rsidRDefault="000A5D7C" w:rsidP="0083561C">
      <w:pPr>
        <w:pStyle w:val="BBody1"/>
        <w:numPr>
          <w:ilvl w:val="0"/>
          <w:numId w:val="0"/>
        </w:numPr>
        <w:jc w:val="both"/>
      </w:pPr>
      <w:r w:rsidRPr="00A679B0">
        <w:t>The Board considered the Natura Impact Statement and all other relevant submissions and carried out an appropriate assessment of the implications of the proposed development for</w:t>
      </w:r>
      <w:r w:rsidR="00D64064">
        <w:t xml:space="preserve"> </w:t>
      </w:r>
      <w:r w:rsidR="00D64064" w:rsidRPr="00CC78FF">
        <w:rPr>
          <w:lang w:val="en-US"/>
        </w:rPr>
        <w:t>the River Shannon and River Fergus Estuaries SPA (004077)</w:t>
      </w:r>
      <w:r w:rsidR="00D64064" w:rsidRPr="00CC78FF">
        <w:t xml:space="preserve"> and </w:t>
      </w:r>
      <w:r w:rsidR="00D64064" w:rsidRPr="00CC78FF">
        <w:rPr>
          <w:lang w:val="en-US"/>
        </w:rPr>
        <w:t>the Lower River Shannon SAC (002165)</w:t>
      </w:r>
      <w:r w:rsidR="00D64064">
        <w:rPr>
          <w:lang w:val="en-US"/>
        </w:rPr>
        <w:t>.</w:t>
      </w:r>
      <w:r w:rsidR="00D64064" w:rsidRPr="00CC78FF">
        <w:t xml:space="preserve"> </w:t>
      </w:r>
      <w:r w:rsidR="00D64064">
        <w:t xml:space="preserve"> </w:t>
      </w:r>
      <w:r w:rsidRPr="00A679B0">
        <w:t xml:space="preserve">The Board considered that the information before it was adequate to allow the carrying out of an Appropriate Assessment as well as the report of the Inspector. </w:t>
      </w:r>
      <w:r w:rsidR="00B74DDF">
        <w:t xml:space="preserve"> </w:t>
      </w:r>
      <w:r w:rsidRPr="00A679B0">
        <w:t>In completing the assessment, the Board considered the likely direct and indirect impacts arising from the proposed development both individually or in combination with other plans or projects, the mitigation measures which are included as part of the current proposal and the Conservation Objectives for th</w:t>
      </w:r>
      <w:r>
        <w:t>ese</w:t>
      </w:r>
      <w:r w:rsidRPr="00A679B0">
        <w:t xml:space="preserve"> European Sites.</w:t>
      </w:r>
      <w:r w:rsidR="00B74DDF">
        <w:t xml:space="preserve"> </w:t>
      </w:r>
      <w:r w:rsidRPr="00A679B0">
        <w:t xml:space="preserve"> In completing the Appropriate Assessment, the Board accepted and adopted the Appropriate Assessment carried out in the Inspector’s report in respect of the potential effects of the proposed development on the </w:t>
      </w:r>
      <w:proofErr w:type="gramStart"/>
      <w:r w:rsidRPr="00A679B0">
        <w:t>aforementioned European</w:t>
      </w:r>
      <w:proofErr w:type="gramEnd"/>
      <w:r w:rsidRPr="00A679B0">
        <w:t xml:space="preserve"> Site</w:t>
      </w:r>
      <w:r>
        <w:t>s</w:t>
      </w:r>
      <w:r w:rsidRPr="00A679B0">
        <w:t xml:space="preserve">, having regard to the sites’ Conservation Objectives. </w:t>
      </w:r>
      <w:r>
        <w:t xml:space="preserve"> </w:t>
      </w:r>
      <w:r w:rsidRPr="00A679B0">
        <w:t xml:space="preserve">In overall conclusion, the Board was satisfied that the proposed development would not adversely affect the integrity of </w:t>
      </w:r>
      <w:r w:rsidR="00B74DDF" w:rsidRPr="00CC78FF">
        <w:rPr>
          <w:lang w:val="en-US"/>
        </w:rPr>
        <w:t>the River Shannon and River Fergus Estuaries SPA (004077)</w:t>
      </w:r>
      <w:r w:rsidR="00B74DDF" w:rsidRPr="00CC78FF">
        <w:t xml:space="preserve"> and </w:t>
      </w:r>
      <w:r w:rsidR="00B74DDF" w:rsidRPr="00CC78FF">
        <w:rPr>
          <w:lang w:val="en-US"/>
        </w:rPr>
        <w:t>the Lower River Shannon SAC (002165)</w:t>
      </w:r>
      <w:r w:rsidRPr="00A679B0">
        <w:t>) or any other European Site in view of the sites’ Conservation Objectives</w:t>
      </w:r>
      <w:r w:rsidR="0083561C">
        <w:t>.</w:t>
      </w:r>
    </w:p>
    <w:p w14:paraId="5A02309E" w14:textId="77777777" w:rsidR="00635E4D" w:rsidRDefault="00465B95" w:rsidP="00635E4D">
      <w:pPr>
        <w:pStyle w:val="EHead1"/>
      </w:pPr>
      <w:bookmarkStart w:id="72" w:name="_Toc171346804"/>
      <w:r>
        <w:lastRenderedPageBreak/>
        <w:t>Conditions</w:t>
      </w:r>
      <w:bookmarkEnd w:id="72"/>
    </w:p>
    <w:p w14:paraId="1AA06ECF" w14:textId="7B668D21" w:rsidR="00971D79" w:rsidRPr="00141BC7" w:rsidRDefault="00210648" w:rsidP="000B6C1E">
      <w:pPr>
        <w:pStyle w:val="BBody1"/>
        <w:numPr>
          <w:ilvl w:val="0"/>
          <w:numId w:val="0"/>
        </w:numPr>
        <w:ind w:hanging="709"/>
        <w:jc w:val="both"/>
      </w:pPr>
      <w:r>
        <w:t>1.</w:t>
      </w:r>
      <w:r w:rsidR="00635E4D">
        <w:tab/>
      </w:r>
      <w:r w:rsidR="00971D79" w:rsidRPr="00141BC7">
        <w:t xml:space="preserve">The development shall be carried out and completed in accordance with the plans and particulars lodged with the application, except as may otherwise be required </w:t>
      </w:r>
      <w:proofErr w:type="gramStart"/>
      <w:r w:rsidR="00971D79" w:rsidRPr="00141BC7">
        <w:t>in order to</w:t>
      </w:r>
      <w:proofErr w:type="gramEnd"/>
      <w:r w:rsidR="00971D79" w:rsidRPr="00141BC7">
        <w:t xml:space="preserve"> comply with the following conditions. Where such conditions require details to be agreed with the planning authority, the developer shall agree such details in writing with the planning authority prior to commencement of development and the development shall be carried out and completed in accordance with the agreed particulars.</w:t>
      </w:r>
    </w:p>
    <w:p w14:paraId="5F3269E9" w14:textId="58B8300C" w:rsidR="00505B66" w:rsidRPr="00141BC7" w:rsidRDefault="00971D79" w:rsidP="00505B66">
      <w:pPr>
        <w:pStyle w:val="BBody1"/>
        <w:numPr>
          <w:ilvl w:val="0"/>
          <w:numId w:val="0"/>
        </w:numPr>
        <w:jc w:val="both"/>
      </w:pPr>
      <w:r w:rsidRPr="00141BC7">
        <w:rPr>
          <w:b/>
          <w:bCs/>
        </w:rPr>
        <w:t xml:space="preserve">Reason: </w:t>
      </w:r>
      <w:r w:rsidRPr="00141BC7">
        <w:t>In the interest of clarity.</w:t>
      </w:r>
    </w:p>
    <w:p w14:paraId="79C9E5B2" w14:textId="77777777" w:rsidR="007D3ADB" w:rsidRPr="00762551" w:rsidRDefault="007D3ADB" w:rsidP="00505B66">
      <w:pPr>
        <w:pStyle w:val="BBody1"/>
        <w:numPr>
          <w:ilvl w:val="0"/>
          <w:numId w:val="0"/>
        </w:numPr>
        <w:jc w:val="both"/>
        <w:rPr>
          <w:highlight w:val="yellow"/>
        </w:rPr>
      </w:pPr>
    </w:p>
    <w:p w14:paraId="48E6600D" w14:textId="386D9679" w:rsidR="00971D79" w:rsidRPr="00141BC7" w:rsidRDefault="00971D79" w:rsidP="00505B66">
      <w:pPr>
        <w:pStyle w:val="BBody1"/>
        <w:numPr>
          <w:ilvl w:val="0"/>
          <w:numId w:val="0"/>
        </w:numPr>
        <w:ind w:left="-709"/>
        <w:jc w:val="both"/>
      </w:pPr>
      <w:r w:rsidRPr="00141BC7">
        <w:t>2.</w:t>
      </w:r>
      <w:r w:rsidRPr="00141BC7">
        <w:tab/>
        <w:t xml:space="preserve">For the avoidance of doubt: - </w:t>
      </w:r>
    </w:p>
    <w:p w14:paraId="48FFBB2C" w14:textId="77777777" w:rsidR="00971D79" w:rsidRPr="00141BC7" w:rsidRDefault="00971D79" w:rsidP="00505B66">
      <w:pPr>
        <w:pStyle w:val="BBody1"/>
        <w:numPr>
          <w:ilvl w:val="0"/>
          <w:numId w:val="0"/>
        </w:numPr>
        <w:jc w:val="both"/>
      </w:pPr>
      <w:r w:rsidRPr="00141BC7">
        <w:t xml:space="preserve">(a) The output from the proposed Open Cycle Gas Turbine shall be a maximum of 350MW. </w:t>
      </w:r>
    </w:p>
    <w:p w14:paraId="15BC68C5" w14:textId="77777777" w:rsidR="00971D79" w:rsidRPr="00141BC7" w:rsidRDefault="00971D79" w:rsidP="00505B66">
      <w:pPr>
        <w:pStyle w:val="BBody1"/>
        <w:numPr>
          <w:ilvl w:val="0"/>
          <w:numId w:val="0"/>
        </w:numPr>
        <w:jc w:val="both"/>
      </w:pPr>
      <w:r w:rsidRPr="00141BC7">
        <w:t xml:space="preserve">(b) The operational lifespan the proposed Open Cycle Gas Turbine shall be 25 years, after which the facility shall be decommissioned, and the site reinstated in accordance with Condition no.4 below. </w:t>
      </w:r>
    </w:p>
    <w:p w14:paraId="7FCD31F3" w14:textId="6353334A" w:rsidR="00971D79" w:rsidRPr="00141BC7" w:rsidRDefault="00971D79" w:rsidP="007D3ADB">
      <w:pPr>
        <w:pStyle w:val="BBody1"/>
        <w:numPr>
          <w:ilvl w:val="0"/>
          <w:numId w:val="0"/>
        </w:numPr>
        <w:jc w:val="both"/>
      </w:pPr>
      <w:r w:rsidRPr="00141BC7">
        <w:rPr>
          <w:b/>
          <w:bCs/>
        </w:rPr>
        <w:t xml:space="preserve">Reason: </w:t>
      </w:r>
      <w:r w:rsidRPr="00141BC7">
        <w:t>In the interest of clarity and the proper planning and sustainable development of the area.</w:t>
      </w:r>
    </w:p>
    <w:p w14:paraId="656D571E" w14:textId="77777777" w:rsidR="007D3ADB" w:rsidRPr="00762551" w:rsidRDefault="007D3ADB" w:rsidP="007D3ADB">
      <w:pPr>
        <w:pStyle w:val="BBody1"/>
        <w:numPr>
          <w:ilvl w:val="0"/>
          <w:numId w:val="0"/>
        </w:numPr>
        <w:jc w:val="both"/>
        <w:rPr>
          <w:b/>
          <w:bCs/>
          <w:highlight w:val="yellow"/>
        </w:rPr>
      </w:pPr>
    </w:p>
    <w:p w14:paraId="7E022D49" w14:textId="34718C8B" w:rsidR="00971D79" w:rsidRPr="00780F22" w:rsidRDefault="00971D79" w:rsidP="00505B66">
      <w:pPr>
        <w:pStyle w:val="BBody1"/>
        <w:numPr>
          <w:ilvl w:val="0"/>
          <w:numId w:val="0"/>
        </w:numPr>
        <w:ind w:hanging="709"/>
        <w:jc w:val="both"/>
      </w:pPr>
      <w:r w:rsidRPr="00780F22">
        <w:t>3.</w:t>
      </w:r>
      <w:r w:rsidRPr="00780F22">
        <w:tab/>
        <w:t>The mitigation measures identified in the EIAR</w:t>
      </w:r>
      <w:r w:rsidR="001B0DE1">
        <w:t xml:space="preserve"> and</w:t>
      </w:r>
      <w:r w:rsidR="00863953">
        <w:t xml:space="preserve"> NIS</w:t>
      </w:r>
      <w:r w:rsidRPr="00780F22">
        <w:t xml:space="preserve"> and other plans and particulars submitted with the planning application, shall be implemented in full by the developer, except as may otherwise be required </w:t>
      </w:r>
      <w:proofErr w:type="gramStart"/>
      <w:r w:rsidRPr="00780F22">
        <w:t>in order to</w:t>
      </w:r>
      <w:proofErr w:type="gramEnd"/>
      <w:r w:rsidRPr="00780F22">
        <w:t xml:space="preserve"> comply with the conditions of this permission. </w:t>
      </w:r>
    </w:p>
    <w:p w14:paraId="7D5E4B9A" w14:textId="1C1B8B59" w:rsidR="004965B3" w:rsidRPr="0047201A" w:rsidRDefault="00971D79" w:rsidP="00505B66">
      <w:pPr>
        <w:pStyle w:val="BBody1"/>
        <w:numPr>
          <w:ilvl w:val="0"/>
          <w:numId w:val="0"/>
        </w:numPr>
        <w:jc w:val="both"/>
      </w:pPr>
      <w:r w:rsidRPr="00780F22">
        <w:rPr>
          <w:b/>
          <w:bCs/>
        </w:rPr>
        <w:t xml:space="preserve">Reason: </w:t>
      </w:r>
      <w:r w:rsidRPr="00780F22">
        <w:t>In the interest of clarity and protection of the environment during all phases of the proposed development.</w:t>
      </w:r>
    </w:p>
    <w:p w14:paraId="69EA3B33" w14:textId="77777777" w:rsidR="00F03CEE" w:rsidRPr="00780F22" w:rsidRDefault="00971D79" w:rsidP="00A406F7">
      <w:pPr>
        <w:pStyle w:val="BBody1"/>
        <w:numPr>
          <w:ilvl w:val="0"/>
          <w:numId w:val="0"/>
        </w:numPr>
        <w:ind w:hanging="709"/>
        <w:jc w:val="both"/>
      </w:pPr>
      <w:r w:rsidRPr="00780F22">
        <w:t>4.</w:t>
      </w:r>
      <w:r w:rsidRPr="00780F22">
        <w:tab/>
        <w:t xml:space="preserve">Prior to commencement of operation, the developer shall submit for the written agreement of the planning authority detailed plans and proposals for the restoration and reinstatement of the entire site following decommissioning of the plant. The restoration works shall be completed within two years of the closure of the plant site or cessation of use for a period or one year or more. </w:t>
      </w:r>
    </w:p>
    <w:p w14:paraId="05766708" w14:textId="40070F7E" w:rsidR="00971D79" w:rsidRDefault="00971D79" w:rsidP="00A406F7">
      <w:pPr>
        <w:pStyle w:val="BBody1"/>
        <w:numPr>
          <w:ilvl w:val="0"/>
          <w:numId w:val="0"/>
        </w:numPr>
        <w:jc w:val="both"/>
      </w:pPr>
      <w:r w:rsidRPr="00780F22">
        <w:rPr>
          <w:b/>
          <w:bCs/>
        </w:rPr>
        <w:lastRenderedPageBreak/>
        <w:t xml:space="preserve">Reason: </w:t>
      </w:r>
      <w:r w:rsidRPr="00780F22">
        <w:t>To ensure the satisfactory restoration of the site.</w:t>
      </w:r>
    </w:p>
    <w:p w14:paraId="58D1BA85" w14:textId="77777777" w:rsidR="00591033" w:rsidRDefault="00591033" w:rsidP="00591033">
      <w:pPr>
        <w:pStyle w:val="BBody1"/>
        <w:numPr>
          <w:ilvl w:val="0"/>
          <w:numId w:val="0"/>
        </w:numPr>
      </w:pPr>
    </w:p>
    <w:p w14:paraId="49D0636A" w14:textId="77777777" w:rsidR="00181FFD" w:rsidRDefault="00591033" w:rsidP="00591033">
      <w:pPr>
        <w:pStyle w:val="BBody1"/>
        <w:numPr>
          <w:ilvl w:val="0"/>
          <w:numId w:val="0"/>
        </w:numPr>
        <w:ind w:hanging="720"/>
        <w:jc w:val="both"/>
      </w:pPr>
      <w:r>
        <w:t>5.</w:t>
      </w:r>
      <w:r>
        <w:tab/>
      </w:r>
      <w:r w:rsidR="009819EC" w:rsidRPr="00B20BB3">
        <w:t xml:space="preserve">The services of a suitably qualified and experienced Ecological Clerk of Works shall be retained to oversee and supervise the entirety of the construction works, and to provide monthly electronic reports to the planning authority (Planning and Environment Sections) detailing the stage of the works, and compliance with EIAR and CEMP mitigation measures. </w:t>
      </w:r>
    </w:p>
    <w:p w14:paraId="6C96F8E5" w14:textId="5E6452FC" w:rsidR="009819EC" w:rsidRPr="00591033" w:rsidRDefault="009819EC" w:rsidP="00181FFD">
      <w:pPr>
        <w:pStyle w:val="BBody1"/>
        <w:numPr>
          <w:ilvl w:val="0"/>
          <w:numId w:val="0"/>
        </w:numPr>
        <w:jc w:val="both"/>
      </w:pPr>
      <w:r w:rsidRPr="00B20BB3">
        <w:rPr>
          <w:b/>
          <w:bCs/>
        </w:rPr>
        <w:t xml:space="preserve">Reason: </w:t>
      </w:r>
      <w:r w:rsidRPr="007C0B08">
        <w:t>In the interest of protecting ecology and wildlife in the area.</w:t>
      </w:r>
    </w:p>
    <w:p w14:paraId="70ABB31A" w14:textId="77777777" w:rsidR="00A406F7" w:rsidRPr="00762551" w:rsidRDefault="00A406F7" w:rsidP="00A406F7">
      <w:pPr>
        <w:pStyle w:val="BBody1"/>
        <w:numPr>
          <w:ilvl w:val="0"/>
          <w:numId w:val="0"/>
        </w:numPr>
        <w:jc w:val="both"/>
        <w:rPr>
          <w:highlight w:val="yellow"/>
        </w:rPr>
      </w:pPr>
    </w:p>
    <w:p w14:paraId="0FCCC95B" w14:textId="5A18E693" w:rsidR="00971D79" w:rsidRPr="00605E1C" w:rsidRDefault="00591033" w:rsidP="00A406F7">
      <w:pPr>
        <w:pStyle w:val="BBody1"/>
        <w:numPr>
          <w:ilvl w:val="0"/>
          <w:numId w:val="0"/>
        </w:numPr>
        <w:ind w:hanging="709"/>
        <w:jc w:val="both"/>
      </w:pPr>
      <w:r>
        <w:t>6</w:t>
      </w:r>
      <w:r w:rsidR="00971D79" w:rsidRPr="00605E1C">
        <w:t>.</w:t>
      </w:r>
      <w:r w:rsidR="00971D79" w:rsidRPr="00605E1C">
        <w:tab/>
        <w:t xml:space="preserve">All plant and machinery used during the works should be thoroughly cleaned and washed before delivery to the site to prevent the spread of hazardous invasive species and pathogens. </w:t>
      </w:r>
    </w:p>
    <w:p w14:paraId="6D2F36B9" w14:textId="60A71726" w:rsidR="00971D79" w:rsidRPr="00605E1C" w:rsidRDefault="00971D79" w:rsidP="00A406F7">
      <w:pPr>
        <w:pStyle w:val="BBody1"/>
        <w:numPr>
          <w:ilvl w:val="0"/>
          <w:numId w:val="0"/>
        </w:numPr>
        <w:jc w:val="both"/>
      </w:pPr>
      <w:r w:rsidRPr="00605E1C">
        <w:rPr>
          <w:b/>
          <w:bCs/>
        </w:rPr>
        <w:t xml:space="preserve">Reason: </w:t>
      </w:r>
      <w:r w:rsidRPr="00605E1C">
        <w:t>In the interest of the proper planning and sustainable development of the area, and to prohibit the spread of invasive species.</w:t>
      </w:r>
    </w:p>
    <w:p w14:paraId="2EB4CFDE" w14:textId="77777777" w:rsidR="00A406F7" w:rsidRPr="00762551" w:rsidRDefault="00A406F7" w:rsidP="00A406F7">
      <w:pPr>
        <w:pStyle w:val="BBody1"/>
        <w:numPr>
          <w:ilvl w:val="0"/>
          <w:numId w:val="0"/>
        </w:numPr>
        <w:jc w:val="both"/>
        <w:rPr>
          <w:highlight w:val="yellow"/>
        </w:rPr>
      </w:pPr>
    </w:p>
    <w:p w14:paraId="47533B76" w14:textId="05587C32" w:rsidR="00971D79" w:rsidRPr="005F341B" w:rsidRDefault="00591033" w:rsidP="00A406F7">
      <w:pPr>
        <w:pStyle w:val="BBody1"/>
        <w:numPr>
          <w:ilvl w:val="0"/>
          <w:numId w:val="0"/>
        </w:numPr>
        <w:ind w:hanging="709"/>
        <w:jc w:val="both"/>
      </w:pPr>
      <w:r>
        <w:t>7</w:t>
      </w:r>
      <w:r w:rsidR="00971D79" w:rsidRPr="005F341B">
        <w:t>.</w:t>
      </w:r>
      <w:r w:rsidR="00971D79" w:rsidRPr="005F341B">
        <w:tab/>
        <w:t xml:space="preserve">Water supply and drainage arrangements, including the treatment of wastewater, attenuation and disposal of surface water and connection to the existing drainage system, shall comply with the requirements of </w:t>
      </w:r>
      <w:r w:rsidR="00BE47B9">
        <w:t xml:space="preserve">Uisce </w:t>
      </w:r>
      <w:r w:rsidR="00BE47B9" w:rsidRPr="006B1883">
        <w:t>É</w:t>
      </w:r>
      <w:r w:rsidR="00BE47B9">
        <w:t xml:space="preserve">ireann </w:t>
      </w:r>
      <w:r w:rsidR="00971D79" w:rsidRPr="005F341B">
        <w:t xml:space="preserve">and the planning authority for such works and services as appropriate. </w:t>
      </w:r>
    </w:p>
    <w:p w14:paraId="759129D6" w14:textId="7FD61EBD" w:rsidR="00971D79" w:rsidRPr="005F341B" w:rsidRDefault="00971D79" w:rsidP="00A406F7">
      <w:pPr>
        <w:pStyle w:val="BBody1"/>
        <w:numPr>
          <w:ilvl w:val="0"/>
          <w:numId w:val="0"/>
        </w:numPr>
        <w:jc w:val="both"/>
      </w:pPr>
      <w:r w:rsidRPr="005F341B">
        <w:rPr>
          <w:b/>
          <w:bCs/>
        </w:rPr>
        <w:t xml:space="preserve">Reason: </w:t>
      </w:r>
      <w:r w:rsidRPr="005F341B">
        <w:t>In the interest of public health and to ensure a proper standard of development.</w:t>
      </w:r>
    </w:p>
    <w:p w14:paraId="6D982AF3" w14:textId="77777777" w:rsidR="00A406F7" w:rsidRPr="0047201A" w:rsidRDefault="00A406F7" w:rsidP="00A406F7">
      <w:pPr>
        <w:pStyle w:val="BBody1"/>
        <w:numPr>
          <w:ilvl w:val="0"/>
          <w:numId w:val="0"/>
        </w:numPr>
        <w:jc w:val="both"/>
      </w:pPr>
    </w:p>
    <w:p w14:paraId="5CFEF0CD" w14:textId="34D8E9E2" w:rsidR="00971D79" w:rsidRPr="00823B0B" w:rsidRDefault="00591033" w:rsidP="00823B0B">
      <w:pPr>
        <w:pStyle w:val="BBody1"/>
        <w:numPr>
          <w:ilvl w:val="0"/>
          <w:numId w:val="0"/>
        </w:numPr>
        <w:ind w:hanging="709"/>
        <w:jc w:val="both"/>
      </w:pPr>
      <w:r>
        <w:t>8</w:t>
      </w:r>
      <w:r w:rsidR="00971D79" w:rsidRPr="0047201A">
        <w:t>.</w:t>
      </w:r>
      <w:r w:rsidR="00971D79" w:rsidRPr="0047201A">
        <w:tab/>
        <w:t>The construction of the development shall be managed in accordance with a Construction and Environmental Management Plan, which shall be submitted to, and agreed in writing with, the planning authority prior to commencement of development. This plan shall provide details of</w:t>
      </w:r>
      <w:r w:rsidR="00582512" w:rsidRPr="00921CEC">
        <w:t xml:space="preserve"> all relevant environmental issues </w:t>
      </w:r>
      <w:r w:rsidR="00823B0B">
        <w:t xml:space="preserve">including </w:t>
      </w:r>
      <w:r w:rsidR="00971D79" w:rsidRPr="0047201A">
        <w:t>intended construction practices, hours of working, noise, vibration and dust management measures</w:t>
      </w:r>
      <w:r w:rsidR="0002014A">
        <w:t xml:space="preserve"> and monitoring of such levels</w:t>
      </w:r>
      <w:r w:rsidR="00971D79" w:rsidRPr="0047201A">
        <w:t xml:space="preserve">; </w:t>
      </w:r>
      <w:r w:rsidR="007426B6">
        <w:t xml:space="preserve">pest control plan, </w:t>
      </w:r>
      <w:r w:rsidR="00971D79" w:rsidRPr="0047201A">
        <w:t xml:space="preserve">traffic management and protection of roads and bridges; storage of hydrocarbons, chemicals and liquids; site specific risk assessments, and off-site disposal of construction, demolition and </w:t>
      </w:r>
      <w:r w:rsidR="00971D79" w:rsidRPr="0047201A">
        <w:lastRenderedPageBreak/>
        <w:t>contaminated waste, which shall be managed in accordance with an agreed Construction and Demolition Waste Management Plan.</w:t>
      </w:r>
      <w:r w:rsidR="00971D79" w:rsidRPr="0047201A">
        <w:rPr>
          <w:b/>
          <w:bCs/>
        </w:rPr>
        <w:t xml:space="preserve"> </w:t>
      </w:r>
    </w:p>
    <w:p w14:paraId="3B68BE44" w14:textId="46F56717" w:rsidR="00971D79" w:rsidRDefault="00971D79" w:rsidP="00CE349C">
      <w:pPr>
        <w:pStyle w:val="BBody1"/>
        <w:numPr>
          <w:ilvl w:val="0"/>
          <w:numId w:val="0"/>
        </w:numPr>
      </w:pPr>
      <w:r w:rsidRPr="0047201A">
        <w:rPr>
          <w:b/>
          <w:bCs/>
        </w:rPr>
        <w:t xml:space="preserve">Reason: </w:t>
      </w:r>
      <w:r w:rsidRPr="0047201A">
        <w:t>In the interests of public safety and residential amenity.</w:t>
      </w:r>
    </w:p>
    <w:p w14:paraId="2980E09D" w14:textId="77777777" w:rsidR="00647534" w:rsidRDefault="00647534" w:rsidP="00CE349C">
      <w:pPr>
        <w:pStyle w:val="BBody1"/>
        <w:numPr>
          <w:ilvl w:val="0"/>
          <w:numId w:val="0"/>
        </w:numPr>
      </w:pPr>
    </w:p>
    <w:p w14:paraId="34051ECC" w14:textId="6CD40F4A" w:rsidR="00647534" w:rsidRDefault="00112B0A" w:rsidP="00112B0A">
      <w:pPr>
        <w:pStyle w:val="BBody1"/>
        <w:numPr>
          <w:ilvl w:val="0"/>
          <w:numId w:val="0"/>
        </w:numPr>
        <w:ind w:hanging="630"/>
        <w:jc w:val="both"/>
      </w:pPr>
      <w:r>
        <w:t>9.</w:t>
      </w:r>
      <w:r>
        <w:tab/>
      </w:r>
      <w:r w:rsidR="00F6124D">
        <w:t xml:space="preserve">The construction of the development shall be managed in accordance with a </w:t>
      </w:r>
      <w:r w:rsidR="00647534" w:rsidRPr="00921CEC">
        <w:t>Construction and Demolition Resource Waste Management Plan (RWMP)</w:t>
      </w:r>
      <w:r w:rsidR="00E20978">
        <w:t xml:space="preserve">, </w:t>
      </w:r>
      <w:r w:rsidR="00E20978" w:rsidRPr="0047201A">
        <w:t>which shall be submitted to, and agreed in writing with, the planning authority prior to commencement of development</w:t>
      </w:r>
      <w:r w:rsidR="00647534" w:rsidRPr="00921CEC">
        <w:t xml:space="preserve"> as set out in the Best Practice Guidelines for the Preparation of Resource and Waste Management Plans for C&amp;D Projects (2021), including demonstration of proposals to adhere to best practice and protocols. </w:t>
      </w:r>
    </w:p>
    <w:p w14:paraId="7E113489" w14:textId="77777777" w:rsidR="00112B0A" w:rsidRDefault="00112B0A" w:rsidP="00112B0A">
      <w:pPr>
        <w:pStyle w:val="BBody1"/>
        <w:numPr>
          <w:ilvl w:val="0"/>
          <w:numId w:val="0"/>
        </w:numPr>
      </w:pPr>
      <w:r w:rsidRPr="0047201A">
        <w:rPr>
          <w:b/>
          <w:bCs/>
        </w:rPr>
        <w:t xml:space="preserve">Reason: </w:t>
      </w:r>
      <w:r w:rsidRPr="0047201A">
        <w:t>In the interests of public safety and residential amenity.</w:t>
      </w:r>
    </w:p>
    <w:p w14:paraId="3C580FB8" w14:textId="77777777" w:rsidR="00971D79" w:rsidRPr="00174CEC" w:rsidRDefault="00971D79" w:rsidP="00817598">
      <w:pPr>
        <w:pStyle w:val="BBody1"/>
        <w:numPr>
          <w:ilvl w:val="0"/>
          <w:numId w:val="0"/>
        </w:numPr>
        <w:jc w:val="both"/>
      </w:pPr>
    </w:p>
    <w:p w14:paraId="195FD798" w14:textId="016BEE0D" w:rsidR="00971D79" w:rsidRPr="00174CEC" w:rsidRDefault="00112B0A" w:rsidP="00817598">
      <w:pPr>
        <w:pStyle w:val="BBody1"/>
        <w:numPr>
          <w:ilvl w:val="0"/>
          <w:numId w:val="0"/>
        </w:numPr>
        <w:ind w:hanging="709"/>
        <w:jc w:val="both"/>
      </w:pPr>
      <w:r>
        <w:t>10</w:t>
      </w:r>
      <w:r w:rsidR="00971D79" w:rsidRPr="00174CEC">
        <w:t>.</w:t>
      </w:r>
      <w:r w:rsidR="00971D79" w:rsidRPr="00174CEC">
        <w:tab/>
        <w:t xml:space="preserve">The site development and construction works shall be carried out such a manner as to ensure that the adjoining roads are kept clear of debris, soil and other material and cleaning works shall be carried on the adjoining public roads by the developer and at the developer’s expense </w:t>
      </w:r>
      <w:proofErr w:type="gramStart"/>
      <w:r w:rsidR="00971D79" w:rsidRPr="00174CEC">
        <w:t>on a daily basis</w:t>
      </w:r>
      <w:proofErr w:type="gramEnd"/>
      <w:r w:rsidR="00971D79" w:rsidRPr="00174CEC">
        <w:t xml:space="preserve">. </w:t>
      </w:r>
    </w:p>
    <w:p w14:paraId="0CDE9C37" w14:textId="586DED44" w:rsidR="00971D79" w:rsidRPr="00762551" w:rsidRDefault="00971D79" w:rsidP="00817598">
      <w:pPr>
        <w:pStyle w:val="BBody1"/>
        <w:numPr>
          <w:ilvl w:val="0"/>
          <w:numId w:val="0"/>
        </w:numPr>
        <w:jc w:val="both"/>
        <w:rPr>
          <w:highlight w:val="yellow"/>
        </w:rPr>
      </w:pPr>
      <w:r w:rsidRPr="00174CEC">
        <w:rPr>
          <w:b/>
          <w:bCs/>
        </w:rPr>
        <w:t xml:space="preserve">Reason: </w:t>
      </w:r>
      <w:r w:rsidRPr="00174CEC">
        <w:t>To protect the residential amenities of property in the vicinity.</w:t>
      </w:r>
    </w:p>
    <w:p w14:paraId="531BB415" w14:textId="77777777" w:rsidR="00971D79" w:rsidRPr="00762551" w:rsidRDefault="00971D79" w:rsidP="00A406F7">
      <w:pPr>
        <w:pStyle w:val="BBody1"/>
        <w:numPr>
          <w:ilvl w:val="0"/>
          <w:numId w:val="0"/>
        </w:numPr>
        <w:jc w:val="both"/>
        <w:rPr>
          <w:highlight w:val="yellow"/>
        </w:rPr>
      </w:pPr>
    </w:p>
    <w:p w14:paraId="68D87C1E" w14:textId="469E5C87" w:rsidR="00971D79" w:rsidRPr="006E3954" w:rsidRDefault="00591033" w:rsidP="00E076DB">
      <w:pPr>
        <w:pStyle w:val="BBody1"/>
        <w:numPr>
          <w:ilvl w:val="0"/>
          <w:numId w:val="0"/>
        </w:numPr>
        <w:ind w:hanging="720"/>
        <w:jc w:val="both"/>
      </w:pPr>
      <w:r w:rsidRPr="006E3954">
        <w:t>1</w:t>
      </w:r>
      <w:r w:rsidR="00112B0A">
        <w:t>1</w:t>
      </w:r>
      <w:r w:rsidR="00971D79" w:rsidRPr="006E3954">
        <w:t>.</w:t>
      </w:r>
      <w:r w:rsidR="00971D79" w:rsidRPr="006E3954">
        <w:tab/>
        <w:t>Prior to commencement of development, a Construction Transport Management Plan for the construction stage shall be submitted to, and agreed in writing with, the planning authority. The traffic management plan shall incorporate details of the road network to be used by construction traffic</w:t>
      </w:r>
      <w:r w:rsidR="005743AE" w:rsidRPr="006E3954">
        <w:t xml:space="preserve"> </w:t>
      </w:r>
      <w:r w:rsidR="00D51225">
        <w:t xml:space="preserve">in accordance with the </w:t>
      </w:r>
      <w:r w:rsidR="005743AE" w:rsidRPr="006E3954">
        <w:t>Abnormal Loads Report</w:t>
      </w:r>
      <w:r w:rsidR="00971D79" w:rsidRPr="006E3954">
        <w:t xml:space="preserve">.  </w:t>
      </w:r>
      <w:r w:rsidR="00B76A95" w:rsidRPr="00CA6FA0">
        <w:t xml:space="preserve">The traffic management plan shall incorporate details of the road network to be used by construction traffic, including over-sized loads, and detailed arrangements for the protection of bridges, </w:t>
      </w:r>
      <w:proofErr w:type="gramStart"/>
      <w:r w:rsidR="00B76A95" w:rsidRPr="00CA6FA0">
        <w:t>culverts</w:t>
      </w:r>
      <w:proofErr w:type="gramEnd"/>
      <w:r w:rsidR="00B76A95" w:rsidRPr="00CA6FA0">
        <w:t xml:space="preserve"> or other structures to be traversed, as may be required. </w:t>
      </w:r>
      <w:r w:rsidR="0082467C">
        <w:t>This shall include pre</w:t>
      </w:r>
      <w:r w:rsidR="00647636">
        <w:t xml:space="preserve"> and post construction phase </w:t>
      </w:r>
      <w:proofErr w:type="gramStart"/>
      <w:r w:rsidR="00647636">
        <w:t>survey’s</w:t>
      </w:r>
      <w:proofErr w:type="gramEnd"/>
      <w:r w:rsidR="0075637C">
        <w:t xml:space="preserve"> in conjunction with Kerry County Council</w:t>
      </w:r>
      <w:r w:rsidR="00B65A22">
        <w:t xml:space="preserve"> and other County Councils where necessary</w:t>
      </w:r>
      <w:r w:rsidR="00A34008">
        <w:t>.</w:t>
      </w:r>
      <w:r w:rsidR="00B76A95">
        <w:t xml:space="preserve"> </w:t>
      </w:r>
      <w:r w:rsidR="0075637C">
        <w:t xml:space="preserve"> </w:t>
      </w:r>
      <w:r w:rsidR="00971D79" w:rsidRPr="006E3954">
        <w:t>The plan should also contain details of how the developer intends</w:t>
      </w:r>
      <w:r w:rsidR="001A2042" w:rsidRPr="000B6630">
        <w:t xml:space="preserve"> to manage the interaction between the construction traffic and the traffic queuing for the Shannon Ferry’s Tarbert – Killimer ferry</w:t>
      </w:r>
      <w:r w:rsidR="001A2042" w:rsidRPr="006E3954">
        <w:t xml:space="preserve"> </w:t>
      </w:r>
      <w:r w:rsidR="0092523F">
        <w:t xml:space="preserve">and how it intends to </w:t>
      </w:r>
      <w:r w:rsidR="00971D79" w:rsidRPr="006E3954">
        <w:t xml:space="preserve">engage with and notify the local community in advance of </w:t>
      </w:r>
      <w:r w:rsidR="00971D79" w:rsidRPr="006E3954">
        <w:lastRenderedPageBreak/>
        <w:t xml:space="preserve">the delivery of oversized loads. </w:t>
      </w:r>
      <w:r w:rsidR="00341754">
        <w:t xml:space="preserve"> </w:t>
      </w:r>
      <w:r w:rsidR="003A0CD4" w:rsidRPr="006E3954">
        <w:t>Any damage caused to existing road pavement due to deliveries will be rectified in accordance with TII Pavement Standards</w:t>
      </w:r>
      <w:r w:rsidR="00375FA7">
        <w:t>.</w:t>
      </w:r>
    </w:p>
    <w:p w14:paraId="3030541F" w14:textId="657E777D" w:rsidR="00971D79" w:rsidRDefault="00971D79" w:rsidP="00CE349C">
      <w:pPr>
        <w:pStyle w:val="BBody1"/>
        <w:numPr>
          <w:ilvl w:val="0"/>
          <w:numId w:val="0"/>
        </w:numPr>
        <w:jc w:val="both"/>
        <w:rPr>
          <w:b/>
          <w:bCs/>
        </w:rPr>
      </w:pPr>
      <w:r w:rsidRPr="006E3954">
        <w:rPr>
          <w:b/>
          <w:bCs/>
        </w:rPr>
        <w:t xml:space="preserve">Reason: </w:t>
      </w:r>
      <w:r w:rsidRPr="006E3954">
        <w:t>In the interest of traffic safety</w:t>
      </w:r>
      <w:r w:rsidRPr="006E3954">
        <w:rPr>
          <w:b/>
          <w:bCs/>
        </w:rPr>
        <w:t>.</w:t>
      </w:r>
    </w:p>
    <w:p w14:paraId="1CAB155B" w14:textId="77777777" w:rsidR="008A0624" w:rsidRDefault="008A0624" w:rsidP="00CE349C">
      <w:pPr>
        <w:pStyle w:val="BBody1"/>
        <w:numPr>
          <w:ilvl w:val="0"/>
          <w:numId w:val="0"/>
        </w:numPr>
        <w:jc w:val="both"/>
        <w:rPr>
          <w:b/>
          <w:bCs/>
        </w:rPr>
      </w:pPr>
    </w:p>
    <w:p w14:paraId="76B01B8D" w14:textId="5FDB7F76" w:rsidR="008A0624" w:rsidRPr="0083561C" w:rsidRDefault="008A0624" w:rsidP="008A0624">
      <w:pPr>
        <w:pStyle w:val="BBody1"/>
        <w:numPr>
          <w:ilvl w:val="0"/>
          <w:numId w:val="0"/>
        </w:numPr>
        <w:ind w:hanging="630"/>
        <w:jc w:val="both"/>
      </w:pPr>
      <w:r w:rsidRPr="0083561C">
        <w:t>1</w:t>
      </w:r>
      <w:r>
        <w:t>2</w:t>
      </w:r>
      <w:r w:rsidRPr="0083561C">
        <w:t>.</w:t>
      </w:r>
      <w:r w:rsidRPr="0083561C">
        <w:tab/>
        <w:t xml:space="preserve">The developer shall provide for a community </w:t>
      </w:r>
      <w:r>
        <w:t>benefit</w:t>
      </w:r>
      <w:r w:rsidRPr="0083561C">
        <w:t xml:space="preserve"> fund in compliance with Section 12.5.5 of Chapter 12 of the Kerry County Development Plan 2022 – 2028, to be managed by a Community Liaison Committee.</w:t>
      </w:r>
      <w:r w:rsidR="00F2295A">
        <w:t xml:space="preserve"> Details of the community benefit fund </w:t>
      </w:r>
      <w:r w:rsidR="002D2E03">
        <w:t>shall be agreed in writing with the Planning authority prior to the commencement of development</w:t>
      </w:r>
      <w:r w:rsidR="00175F1B">
        <w:t>.</w:t>
      </w:r>
    </w:p>
    <w:p w14:paraId="5D1DD60C" w14:textId="77777777" w:rsidR="008A0624" w:rsidRDefault="008A0624" w:rsidP="008A0624">
      <w:pPr>
        <w:pStyle w:val="BBody1"/>
        <w:numPr>
          <w:ilvl w:val="0"/>
          <w:numId w:val="0"/>
        </w:numPr>
        <w:jc w:val="both"/>
      </w:pPr>
      <w:r w:rsidRPr="0083561C">
        <w:rPr>
          <w:b/>
          <w:bCs/>
        </w:rPr>
        <w:t xml:space="preserve">Reason: </w:t>
      </w:r>
      <w:r w:rsidRPr="0083561C">
        <w:t xml:space="preserve">In the interest of local community </w:t>
      </w:r>
      <w:r>
        <w:t>benefit.</w:t>
      </w:r>
    </w:p>
    <w:p w14:paraId="5CA984DE" w14:textId="77777777" w:rsidR="008A0624" w:rsidRDefault="008A0624" w:rsidP="008A0624">
      <w:pPr>
        <w:pStyle w:val="BBody1"/>
        <w:numPr>
          <w:ilvl w:val="0"/>
          <w:numId w:val="0"/>
        </w:numPr>
        <w:jc w:val="both"/>
      </w:pPr>
    </w:p>
    <w:p w14:paraId="6E5B11D0" w14:textId="41A82B70" w:rsidR="008A0624" w:rsidRPr="0083561C" w:rsidRDefault="008A0624" w:rsidP="008A0624">
      <w:pPr>
        <w:pStyle w:val="BBody1"/>
        <w:numPr>
          <w:ilvl w:val="0"/>
          <w:numId w:val="0"/>
        </w:numPr>
        <w:ind w:hanging="630"/>
        <w:jc w:val="both"/>
      </w:pPr>
      <w:r w:rsidRPr="0083561C">
        <w:t>1</w:t>
      </w:r>
      <w:r>
        <w:t>3</w:t>
      </w:r>
      <w:r w:rsidRPr="0083561C">
        <w:t>.</w:t>
      </w:r>
      <w:r w:rsidRPr="0083561C">
        <w:tab/>
        <w:t xml:space="preserve">The developer shall </w:t>
      </w:r>
      <w:r>
        <w:t>appoint a</w:t>
      </w:r>
      <w:r w:rsidRPr="0083561C">
        <w:t xml:space="preserve"> Community Liaison </w:t>
      </w:r>
      <w:r>
        <w:t>Representative</w:t>
      </w:r>
      <w:r w:rsidR="00ED71A3">
        <w:t xml:space="preserve"> for the duration of the construction phase works</w:t>
      </w:r>
      <w:r w:rsidRPr="0083561C">
        <w:t>.</w:t>
      </w:r>
    </w:p>
    <w:p w14:paraId="36C7383F" w14:textId="33E8B8BD" w:rsidR="008A0624" w:rsidRDefault="008A0624" w:rsidP="008A0624">
      <w:pPr>
        <w:pStyle w:val="BBody1"/>
        <w:numPr>
          <w:ilvl w:val="0"/>
          <w:numId w:val="0"/>
        </w:numPr>
        <w:jc w:val="both"/>
      </w:pPr>
      <w:r w:rsidRPr="0083561C">
        <w:rPr>
          <w:b/>
          <w:bCs/>
        </w:rPr>
        <w:t xml:space="preserve">Reason: </w:t>
      </w:r>
      <w:r w:rsidRPr="0083561C">
        <w:t xml:space="preserve">In the interest of </w:t>
      </w:r>
      <w:r w:rsidR="00ED71A3">
        <w:t>residential amenity</w:t>
      </w:r>
      <w:r>
        <w:t>.</w:t>
      </w:r>
    </w:p>
    <w:p w14:paraId="42CDBAAA" w14:textId="77777777" w:rsidR="00CE349C" w:rsidRPr="00762551" w:rsidRDefault="00CE349C" w:rsidP="00CE349C">
      <w:pPr>
        <w:pStyle w:val="BBody1"/>
        <w:numPr>
          <w:ilvl w:val="0"/>
          <w:numId w:val="0"/>
        </w:numPr>
        <w:jc w:val="both"/>
        <w:rPr>
          <w:b/>
          <w:bCs/>
          <w:highlight w:val="yellow"/>
        </w:rPr>
      </w:pPr>
    </w:p>
    <w:p w14:paraId="022F4FE2" w14:textId="6A767342" w:rsidR="00841F8B" w:rsidRDefault="00971D79" w:rsidP="00CE349C">
      <w:pPr>
        <w:pStyle w:val="BBody1"/>
        <w:numPr>
          <w:ilvl w:val="0"/>
          <w:numId w:val="0"/>
        </w:numPr>
        <w:ind w:hanging="709"/>
        <w:jc w:val="both"/>
      </w:pPr>
      <w:r w:rsidRPr="000B47CE">
        <w:t>1</w:t>
      </w:r>
      <w:r w:rsidR="008A0624">
        <w:t>4</w:t>
      </w:r>
      <w:r w:rsidRPr="000B47CE">
        <w:t>.</w:t>
      </w:r>
      <w:r w:rsidRPr="000B47CE">
        <w:tab/>
        <w:t>The developer shall pay to the planning authority a financial contribution</w:t>
      </w:r>
      <w:r w:rsidR="00CD735C">
        <w:t xml:space="preserve"> in </w:t>
      </w:r>
      <w:r w:rsidRPr="000B47CE">
        <w:t xml:space="preserve">respect of public infrastructure and facilities benefiting development </w:t>
      </w:r>
      <w:proofErr w:type="gramStart"/>
      <w:r w:rsidRPr="000B47CE">
        <w:t>in the area of</w:t>
      </w:r>
      <w:proofErr w:type="gramEnd"/>
      <w:r w:rsidRPr="000B47CE">
        <w:t xml:space="preserve"> the planning authority that is provided or intended to be provided by or on behalf of the authority in accordance with the terms of the Development Contribution Scheme made under section 48 of the Planning and Development Act 2000. The contribution shall be paid prior to the commencement of development or in such phased payments as the planning authorities may facilitate and shall be subject to any applicable indexation provisions of the Scheme at the time of payment. Details of the application of the terms of the Scheme shall be agreed between the planning authority and the developer or, in default of such agreement, the matter shall be referred to the Board to determine the proper application of the terms of the Scheme. </w:t>
      </w:r>
    </w:p>
    <w:p w14:paraId="6504C276" w14:textId="5E69214C" w:rsidR="00971D79" w:rsidRDefault="00971D79" w:rsidP="00EA0599">
      <w:pPr>
        <w:pStyle w:val="BBody1"/>
        <w:numPr>
          <w:ilvl w:val="0"/>
          <w:numId w:val="0"/>
        </w:numPr>
        <w:jc w:val="both"/>
      </w:pPr>
      <w:r w:rsidRPr="000B47CE">
        <w:rPr>
          <w:b/>
          <w:bCs/>
        </w:rPr>
        <w:t xml:space="preserve">Reason: </w:t>
      </w:r>
      <w:r w:rsidRPr="000B47CE">
        <w:t>It is a requirement of the Planning and Development Act 2000 that a condition requiring a contribution in accordance with the Development Contribution Scheme made under section 48 of the Act be applied to the permission.</w:t>
      </w:r>
    </w:p>
    <w:p w14:paraId="39837B8E" w14:textId="77777777" w:rsidR="000F3878" w:rsidRPr="000B47CE" w:rsidRDefault="000F3878" w:rsidP="00971D79">
      <w:pPr>
        <w:rPr>
          <w:rFonts w:ascii="Arial" w:hAnsi="Arial" w:cs="Arial"/>
        </w:rPr>
      </w:pPr>
    </w:p>
    <w:p w14:paraId="4BF6487F" w14:textId="0099E504" w:rsidR="000C16E3" w:rsidRPr="000B47CE" w:rsidRDefault="00971D79" w:rsidP="00971D79">
      <w:pPr>
        <w:spacing w:line="360" w:lineRule="auto"/>
        <w:jc w:val="both"/>
        <w:rPr>
          <w:rFonts w:ascii="Arial" w:eastAsia="Calibri" w:hAnsi="Arial" w:cs="Arial"/>
          <w:sz w:val="24"/>
          <w:szCs w:val="24"/>
        </w:rPr>
      </w:pPr>
      <w:r w:rsidRPr="000B47CE">
        <w:rPr>
          <w:rFonts w:ascii="Arial" w:eastAsia="Calibri" w:hAnsi="Arial" w:cs="Arial"/>
          <w:sz w:val="24"/>
          <w:szCs w:val="24"/>
        </w:rPr>
        <w:lastRenderedPageBreak/>
        <w:t>I confirm that this report represents my professional planning assessment, judgement and opinion on the matter assigned to me and that no person has influenced or sought to influence, directly or indirectly, the exercise of my professional judgement in an improper or inappropriate way.</w:t>
      </w:r>
    </w:p>
    <w:p w14:paraId="5CC444E6" w14:textId="77777777" w:rsidR="00CE349C" w:rsidRDefault="00CE349C" w:rsidP="00CE349C">
      <w:pPr>
        <w:pStyle w:val="01RegularRegularText"/>
        <w:rPr>
          <w:rFonts w:ascii="Arial" w:hAnsi="Arial" w:cs="Arial"/>
        </w:rPr>
      </w:pPr>
    </w:p>
    <w:p w14:paraId="5D6E9840" w14:textId="77777777" w:rsidR="009B768B" w:rsidRDefault="009B768B" w:rsidP="00CE349C">
      <w:pPr>
        <w:pStyle w:val="01RegularRegularText"/>
        <w:rPr>
          <w:rFonts w:ascii="Arial" w:hAnsi="Arial" w:cs="Arial"/>
        </w:rPr>
      </w:pPr>
    </w:p>
    <w:p w14:paraId="30752FC1" w14:textId="77777777" w:rsidR="009B768B" w:rsidRPr="000B47CE" w:rsidRDefault="009B768B" w:rsidP="00CE349C">
      <w:pPr>
        <w:pStyle w:val="01RegularRegular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CE349C" w14:paraId="7B7FCFC3" w14:textId="77777777" w:rsidTr="009024E2">
        <w:tc>
          <w:tcPr>
            <w:tcW w:w="3686" w:type="dxa"/>
            <w:tcBorders>
              <w:top w:val="single" w:sz="12" w:space="0" w:color="auto"/>
              <w:left w:val="nil"/>
              <w:bottom w:val="nil"/>
              <w:right w:val="nil"/>
            </w:tcBorders>
            <w:shd w:val="clear" w:color="auto" w:fill="auto"/>
          </w:tcPr>
          <w:p w14:paraId="709411E7" w14:textId="4B9C05E2" w:rsidR="00CE349C" w:rsidRPr="000B47CE" w:rsidRDefault="00CE349C" w:rsidP="009024E2">
            <w:pPr>
              <w:pStyle w:val="BBody1"/>
              <w:spacing w:line="240" w:lineRule="auto"/>
            </w:pPr>
            <w:r w:rsidRPr="000B47CE">
              <w:t>Laura Finn</w:t>
            </w:r>
            <w:r w:rsidRPr="000B47CE">
              <w:br/>
              <w:t>Planning Inspector</w:t>
            </w:r>
            <w:r w:rsidRPr="000B47CE">
              <w:br/>
            </w:r>
            <w:r w:rsidRPr="000B47CE">
              <w:br/>
            </w:r>
            <w:r w:rsidR="00AA5CE3">
              <w:t>21</w:t>
            </w:r>
            <w:r w:rsidR="00AA5CE3" w:rsidRPr="00AA5CE3">
              <w:rPr>
                <w:vertAlign w:val="superscript"/>
              </w:rPr>
              <w:t>st</w:t>
            </w:r>
            <w:r w:rsidR="00AA5CE3">
              <w:t xml:space="preserve"> </w:t>
            </w:r>
            <w:r w:rsidRPr="000B47CE">
              <w:t>June 2024</w:t>
            </w:r>
          </w:p>
        </w:tc>
      </w:tr>
    </w:tbl>
    <w:p w14:paraId="213FC1DD" w14:textId="77777777" w:rsidR="00AE2924" w:rsidRPr="00921CEC" w:rsidRDefault="00AE2924" w:rsidP="00921CEC">
      <w:pPr>
        <w:pStyle w:val="NoSpacing"/>
        <w:jc w:val="both"/>
        <w:rPr>
          <w:rFonts w:ascii="Arial" w:hAnsi="Arial" w:cs="Arial"/>
          <w:sz w:val="24"/>
          <w:szCs w:val="24"/>
        </w:rPr>
      </w:pPr>
    </w:p>
    <w:p w14:paraId="12950895" w14:textId="77777777" w:rsidR="000B6630" w:rsidRDefault="000B6630" w:rsidP="00AD7FB9">
      <w:pPr>
        <w:spacing w:line="360" w:lineRule="auto"/>
        <w:jc w:val="both"/>
        <w:rPr>
          <w:rFonts w:ascii="Arial" w:eastAsia="Calibri" w:hAnsi="Arial" w:cs="Arial"/>
          <w:sz w:val="24"/>
          <w:szCs w:val="24"/>
        </w:rPr>
      </w:pPr>
    </w:p>
    <w:p w14:paraId="2107F1EC" w14:textId="77777777" w:rsidR="00AD6864" w:rsidRDefault="00AD6864" w:rsidP="00E40DCA">
      <w:pPr>
        <w:pStyle w:val="01RegularRegularText"/>
        <w:rPr>
          <w:rFonts w:ascii="Arial" w:hAnsi="Arial" w:cs="Arial"/>
        </w:rPr>
      </w:pPr>
    </w:p>
    <w:p w14:paraId="2107F1F0" w14:textId="77777777" w:rsidR="00E40DCA" w:rsidRDefault="00E40DCA" w:rsidP="004B5C94">
      <w:pPr>
        <w:spacing w:line="240" w:lineRule="auto"/>
        <w:rPr>
          <w:rFonts w:ascii="Arial" w:hAnsi="Arial" w:cs="Arial"/>
          <w:b/>
          <w:sz w:val="24"/>
          <w:szCs w:val="24"/>
        </w:rPr>
      </w:pPr>
    </w:p>
    <w:p w14:paraId="2107F1F1" w14:textId="598B71C0" w:rsidR="00057199" w:rsidRDefault="000F3BD8" w:rsidP="009B2CEE">
      <w:pPr>
        <w:pStyle w:val="EHead1"/>
        <w:numPr>
          <w:ilvl w:val="0"/>
          <w:numId w:val="0"/>
        </w:numPr>
        <w:jc w:val="center"/>
      </w:pPr>
      <w:bookmarkStart w:id="73" w:name="_Hlk147402981"/>
      <w:r>
        <w:br w:type="page"/>
      </w:r>
      <w:bookmarkStart w:id="74" w:name="_Toc171346805"/>
      <w:r w:rsidR="005943D3" w:rsidRPr="005943D3">
        <w:lastRenderedPageBreak/>
        <w:t>Appendix 1 - Form 1</w:t>
      </w:r>
      <w:r w:rsidR="009B2CEE">
        <w:t xml:space="preserve"> – EIA Pre-Screening</w:t>
      </w:r>
      <w:bookmarkEnd w:id="74"/>
    </w:p>
    <w:p w14:paraId="2107F1F2" w14:textId="77777777" w:rsidR="00057199" w:rsidRDefault="000F3BD8" w:rsidP="00D82847">
      <w:pPr>
        <w:spacing w:beforeLines="40" w:before="96" w:afterLines="40" w:after="96" w:line="240" w:lineRule="auto"/>
        <w:ind w:left="-567"/>
        <w:jc w:val="center"/>
        <w:rPr>
          <w:rFonts w:ascii="Arial" w:eastAsia="Calibri" w:hAnsi="Arial" w:cs="Arial"/>
          <w:b/>
          <w:bCs/>
          <w:sz w:val="28"/>
          <w:szCs w:val="28"/>
        </w:rPr>
      </w:pPr>
      <w:r w:rsidRPr="005943D3">
        <w:rPr>
          <w:rFonts w:ascii="Arial" w:eastAsia="Calibri" w:hAnsi="Arial" w:cs="Arial"/>
          <w:b/>
          <w:bCs/>
          <w:sz w:val="28"/>
          <w:szCs w:val="28"/>
        </w:rPr>
        <w:t>EIA Pre-Screening</w:t>
      </w:r>
      <w:bookmarkEnd w:id="73"/>
    </w:p>
    <w:p w14:paraId="2107F1F3" w14:textId="77777777" w:rsidR="005943D3" w:rsidRPr="005943D3" w:rsidRDefault="000F3BD8" w:rsidP="00D82847">
      <w:pPr>
        <w:spacing w:beforeLines="40" w:before="96" w:afterLines="40" w:after="96" w:line="240" w:lineRule="auto"/>
        <w:ind w:left="-567"/>
        <w:jc w:val="center"/>
        <w:rPr>
          <w:rFonts w:ascii="Arial" w:eastAsia="Calibri" w:hAnsi="Arial" w:cs="Arial"/>
          <w:b/>
          <w:bCs/>
          <w:sz w:val="28"/>
          <w:szCs w:val="28"/>
        </w:rPr>
      </w:pPr>
      <w:r w:rsidRPr="005943D3">
        <w:rPr>
          <w:rFonts w:ascii="Arial" w:eastAsia="Calibri" w:hAnsi="Arial" w:cs="Arial"/>
          <w:b/>
          <w:bCs/>
          <w:sz w:val="28"/>
          <w:szCs w:val="28"/>
        </w:rPr>
        <w:t>[</w:t>
      </w:r>
      <w:r w:rsidRPr="005943D3">
        <w:rPr>
          <w:rFonts w:ascii="Arial" w:eastAsia="Calibri" w:hAnsi="Arial" w:cs="Arial"/>
          <w:b/>
          <w:bCs/>
          <w:sz w:val="24"/>
          <w:szCs w:val="24"/>
        </w:rPr>
        <w:t>EIAR not submitted</w:t>
      </w:r>
      <w:r w:rsidRPr="005943D3">
        <w:rPr>
          <w:rFonts w:ascii="Arial" w:eastAsia="Calibri" w:hAnsi="Arial" w:cs="Arial"/>
          <w:b/>
          <w:bCs/>
          <w:sz w:val="28"/>
          <w:szCs w:val="28"/>
        </w:rPr>
        <w:t>]</w:t>
      </w:r>
    </w:p>
    <w:tbl>
      <w:tblPr>
        <w:tblStyle w:val="TableGrid1"/>
        <w:tblW w:w="10207" w:type="dxa"/>
        <w:tblInd w:w="-596" w:type="dxa"/>
        <w:tblLook w:val="04A0" w:firstRow="1" w:lastRow="0" w:firstColumn="1" w:lastColumn="0" w:noHBand="0" w:noVBand="1"/>
      </w:tblPr>
      <w:tblGrid>
        <w:gridCol w:w="966"/>
        <w:gridCol w:w="19"/>
        <w:gridCol w:w="717"/>
        <w:gridCol w:w="1275"/>
        <w:gridCol w:w="2724"/>
        <w:gridCol w:w="2137"/>
        <w:gridCol w:w="19"/>
        <w:gridCol w:w="679"/>
        <w:gridCol w:w="1671"/>
      </w:tblGrid>
      <w:tr w:rsidR="002B0C5D" w14:paraId="2107F1F7" w14:textId="77777777" w:rsidTr="00D34626">
        <w:trPr>
          <w:trHeight w:val="576"/>
        </w:trPr>
        <w:tc>
          <w:tcPr>
            <w:tcW w:w="2977" w:type="dxa"/>
            <w:gridSpan w:val="4"/>
            <w:shd w:val="clear" w:color="auto" w:fill="F2F2F2"/>
          </w:tcPr>
          <w:p w14:paraId="2107F1F4" w14:textId="77777777" w:rsidR="005943D3" w:rsidRPr="005943D3" w:rsidRDefault="000F3BD8" w:rsidP="005943D3">
            <w:pPr>
              <w:spacing w:beforeLines="40" w:before="96" w:afterLines="40" w:after="96"/>
              <w:rPr>
                <w:b/>
              </w:rPr>
            </w:pPr>
            <w:r w:rsidRPr="005943D3">
              <w:rPr>
                <w:b/>
              </w:rPr>
              <w:t xml:space="preserve">An Bord Pleanála </w:t>
            </w:r>
          </w:p>
          <w:p w14:paraId="2107F1F5" w14:textId="77777777" w:rsidR="005943D3" w:rsidRPr="005943D3" w:rsidRDefault="000F3BD8" w:rsidP="005943D3">
            <w:pPr>
              <w:spacing w:beforeLines="40" w:before="96" w:afterLines="40" w:after="96"/>
              <w:rPr>
                <w:b/>
              </w:rPr>
            </w:pPr>
            <w:r w:rsidRPr="005943D3">
              <w:rPr>
                <w:b/>
              </w:rPr>
              <w:t>Case Reference</w:t>
            </w:r>
          </w:p>
        </w:tc>
        <w:tc>
          <w:tcPr>
            <w:tcW w:w="7230" w:type="dxa"/>
            <w:gridSpan w:val="5"/>
            <w:shd w:val="clear" w:color="auto" w:fill="F2F2F2"/>
          </w:tcPr>
          <w:p w14:paraId="2107F1F6" w14:textId="32657A1A" w:rsidR="005943D3" w:rsidRPr="005943D3" w:rsidRDefault="00FD69D3" w:rsidP="005943D3">
            <w:pPr>
              <w:spacing w:beforeLines="40" w:before="96" w:afterLines="40" w:after="96"/>
              <w:rPr>
                <w:rFonts w:eastAsia="Calibri"/>
              </w:rPr>
            </w:pPr>
            <w:r>
              <w:rPr>
                <w:rFonts w:eastAsia="Calibri"/>
              </w:rPr>
              <w:t>ABP-</w:t>
            </w:r>
            <w:r w:rsidR="0054274E">
              <w:rPr>
                <w:rFonts w:eastAsia="Calibri"/>
              </w:rPr>
              <w:t>318</w:t>
            </w:r>
            <w:r>
              <w:rPr>
                <w:rFonts w:eastAsia="Calibri"/>
              </w:rPr>
              <w:t>540-23</w:t>
            </w:r>
          </w:p>
        </w:tc>
      </w:tr>
      <w:tr w:rsidR="002B0C5D" w14:paraId="2107F1FB" w14:textId="77777777" w:rsidTr="00D34626">
        <w:trPr>
          <w:trHeight w:val="1268"/>
        </w:trPr>
        <w:tc>
          <w:tcPr>
            <w:tcW w:w="2977" w:type="dxa"/>
            <w:gridSpan w:val="4"/>
          </w:tcPr>
          <w:p w14:paraId="2107F1F8" w14:textId="77777777" w:rsidR="005943D3" w:rsidRPr="005943D3" w:rsidRDefault="000F3BD8" w:rsidP="005943D3">
            <w:pPr>
              <w:spacing w:beforeLines="40" w:before="96" w:afterLines="40" w:after="96"/>
              <w:rPr>
                <w:rFonts w:eastAsia="Calibri"/>
                <w:b/>
              </w:rPr>
            </w:pPr>
            <w:r w:rsidRPr="005943D3">
              <w:rPr>
                <w:rFonts w:eastAsia="Calibri"/>
                <w:b/>
              </w:rPr>
              <w:t xml:space="preserve">Proposed Development </w:t>
            </w:r>
          </w:p>
          <w:p w14:paraId="2107F1F9" w14:textId="77777777" w:rsidR="005943D3" w:rsidRPr="005943D3" w:rsidRDefault="000F3BD8" w:rsidP="005943D3">
            <w:pPr>
              <w:spacing w:beforeLines="40" w:before="96" w:afterLines="40" w:after="96"/>
              <w:rPr>
                <w:rFonts w:eastAsia="Calibri"/>
              </w:rPr>
            </w:pPr>
            <w:r w:rsidRPr="005943D3">
              <w:rPr>
                <w:rFonts w:eastAsia="Calibri"/>
                <w:b/>
              </w:rPr>
              <w:t xml:space="preserve">Summary </w:t>
            </w:r>
          </w:p>
        </w:tc>
        <w:tc>
          <w:tcPr>
            <w:tcW w:w="7230" w:type="dxa"/>
            <w:gridSpan w:val="5"/>
          </w:tcPr>
          <w:p w14:paraId="2107F1FA" w14:textId="434D6DA5" w:rsidR="005943D3" w:rsidRPr="005943D3" w:rsidRDefault="00A70D38" w:rsidP="005943D3">
            <w:pPr>
              <w:spacing w:beforeLines="40" w:before="96" w:afterLines="40" w:after="96"/>
              <w:rPr>
                <w:rFonts w:eastAsia="Calibri"/>
              </w:rPr>
            </w:pPr>
            <w:proofErr w:type="gramStart"/>
            <w:r w:rsidRPr="00A70D38">
              <w:rPr>
                <w:rFonts w:eastAsia="Calibri"/>
              </w:rPr>
              <w:t>10 year</w:t>
            </w:r>
            <w:proofErr w:type="gramEnd"/>
            <w:r w:rsidRPr="00A70D38">
              <w:rPr>
                <w:rFonts w:eastAsia="Calibri"/>
              </w:rPr>
              <w:t xml:space="preserve"> planning permission for the proposed Open Cycle Gas Turbine (OCGT) power plant fuelled by Hydrotreated Vegetable Oil (HVO) and associated site works</w:t>
            </w:r>
          </w:p>
        </w:tc>
      </w:tr>
      <w:tr w:rsidR="002B0C5D" w14:paraId="2107F1FF" w14:textId="77777777" w:rsidTr="00D34626">
        <w:trPr>
          <w:trHeight w:val="929"/>
        </w:trPr>
        <w:tc>
          <w:tcPr>
            <w:tcW w:w="2977" w:type="dxa"/>
            <w:gridSpan w:val="4"/>
          </w:tcPr>
          <w:p w14:paraId="2107F1FC" w14:textId="77777777" w:rsidR="005943D3" w:rsidRPr="005943D3" w:rsidRDefault="000F3BD8" w:rsidP="005943D3">
            <w:pPr>
              <w:spacing w:beforeLines="40" w:before="96" w:afterLines="40" w:after="96"/>
              <w:rPr>
                <w:rFonts w:eastAsia="Calibri"/>
                <w:b/>
              </w:rPr>
            </w:pPr>
            <w:r w:rsidRPr="005943D3">
              <w:rPr>
                <w:rFonts w:eastAsia="Calibri"/>
                <w:b/>
              </w:rPr>
              <w:t>Development Address</w:t>
            </w:r>
          </w:p>
          <w:p w14:paraId="2107F1FD" w14:textId="77777777" w:rsidR="005943D3" w:rsidRPr="005943D3" w:rsidRDefault="005943D3" w:rsidP="005943D3">
            <w:pPr>
              <w:spacing w:beforeLines="40" w:before="96" w:afterLines="40" w:after="96"/>
              <w:rPr>
                <w:rFonts w:eastAsia="Calibri"/>
                <w:b/>
              </w:rPr>
            </w:pPr>
          </w:p>
        </w:tc>
        <w:tc>
          <w:tcPr>
            <w:tcW w:w="7230" w:type="dxa"/>
            <w:gridSpan w:val="5"/>
          </w:tcPr>
          <w:p w14:paraId="2107F1FE" w14:textId="151E9CC2" w:rsidR="005943D3" w:rsidRPr="005943D3" w:rsidRDefault="008E7CD7" w:rsidP="005943D3">
            <w:pPr>
              <w:spacing w:beforeLines="40" w:before="96" w:afterLines="40" w:after="96"/>
              <w:rPr>
                <w:rFonts w:eastAsia="Calibri"/>
              </w:rPr>
            </w:pPr>
            <w:r>
              <w:t>at Tarbert Island, Tarbert, Co. Kerry</w:t>
            </w:r>
          </w:p>
        </w:tc>
      </w:tr>
      <w:tr w:rsidR="002B0C5D" w14:paraId="2107F204" w14:textId="77777777" w:rsidTr="00D34626">
        <w:tc>
          <w:tcPr>
            <w:tcW w:w="7857" w:type="dxa"/>
            <w:gridSpan w:val="7"/>
            <w:vMerge w:val="restart"/>
            <w:shd w:val="clear" w:color="auto" w:fill="F2F2F2"/>
          </w:tcPr>
          <w:p w14:paraId="2107F200" w14:textId="68029AB8" w:rsidR="005943D3" w:rsidRPr="005943D3" w:rsidRDefault="000F3BD8" w:rsidP="009354E9">
            <w:pPr>
              <w:pStyle w:val="ListParagraph"/>
              <w:numPr>
                <w:ilvl w:val="0"/>
                <w:numId w:val="3"/>
              </w:numPr>
              <w:spacing w:beforeLines="40" w:before="96" w:afterLines="40" w:after="96" w:line="240" w:lineRule="auto"/>
              <w:ind w:left="306" w:hanging="284"/>
              <w:rPr>
                <w:b/>
              </w:rPr>
            </w:pPr>
            <w:r w:rsidRPr="005943D3">
              <w:rPr>
                <w:b/>
              </w:rPr>
              <w:t xml:space="preserve">Does the proposed development </w:t>
            </w:r>
            <w:proofErr w:type="gramStart"/>
            <w:r w:rsidRPr="005943D3">
              <w:rPr>
                <w:b/>
              </w:rPr>
              <w:t xml:space="preserve">come </w:t>
            </w:r>
            <w:r w:rsidR="00982721">
              <w:rPr>
                <w:b/>
              </w:rPr>
              <w:t>.</w:t>
            </w:r>
            <w:proofErr w:type="gramEnd"/>
            <w:r w:rsidRPr="005943D3">
              <w:rPr>
                <w:b/>
              </w:rPr>
              <w:t xml:space="preserve"> the definition of a ‘project’ for the purposes of EIA?</w:t>
            </w:r>
          </w:p>
          <w:p w14:paraId="2107F201" w14:textId="77777777" w:rsidR="005943D3" w:rsidRPr="005943D3" w:rsidRDefault="000F3BD8" w:rsidP="005943D3">
            <w:pPr>
              <w:spacing w:beforeLines="40" w:before="96" w:afterLines="40" w:after="96"/>
              <w:rPr>
                <w:rFonts w:eastAsia="Calibri"/>
              </w:rPr>
            </w:pPr>
            <w:r w:rsidRPr="005943D3">
              <w:t>(that is involving construction works, demolition, or interventions in the natural surroundings)</w:t>
            </w:r>
          </w:p>
        </w:tc>
        <w:tc>
          <w:tcPr>
            <w:tcW w:w="679" w:type="dxa"/>
          </w:tcPr>
          <w:p w14:paraId="2107F202" w14:textId="77777777" w:rsidR="005943D3" w:rsidRPr="005943D3" w:rsidRDefault="000F3BD8" w:rsidP="005943D3">
            <w:pPr>
              <w:spacing w:beforeLines="40" w:before="96" w:afterLines="40" w:after="96"/>
              <w:rPr>
                <w:rFonts w:eastAsia="Calibri"/>
                <w:b/>
                <w:bCs/>
              </w:rPr>
            </w:pPr>
            <w:r w:rsidRPr="005943D3">
              <w:rPr>
                <w:rFonts w:eastAsia="Calibri"/>
                <w:b/>
                <w:bCs/>
              </w:rPr>
              <w:t>Yes</w:t>
            </w:r>
          </w:p>
        </w:tc>
        <w:tc>
          <w:tcPr>
            <w:tcW w:w="1671" w:type="dxa"/>
          </w:tcPr>
          <w:p w14:paraId="2107F203" w14:textId="67CE9576" w:rsidR="005943D3" w:rsidRPr="005943D3" w:rsidRDefault="00FD5A60" w:rsidP="005943D3">
            <w:pPr>
              <w:spacing w:beforeLines="40" w:before="96" w:afterLines="40" w:after="96"/>
              <w:rPr>
                <w:rFonts w:eastAsia="Calibri"/>
              </w:rPr>
            </w:pPr>
            <w:r>
              <w:rPr>
                <w:rFonts w:eastAsia="Calibri"/>
              </w:rPr>
              <w:t>X</w:t>
            </w:r>
          </w:p>
        </w:tc>
      </w:tr>
      <w:tr w:rsidR="002B0C5D" w14:paraId="2107F208" w14:textId="77777777" w:rsidTr="00D34626">
        <w:tc>
          <w:tcPr>
            <w:tcW w:w="7857" w:type="dxa"/>
            <w:gridSpan w:val="7"/>
            <w:vMerge/>
            <w:shd w:val="clear" w:color="auto" w:fill="F2F2F2"/>
          </w:tcPr>
          <w:p w14:paraId="2107F205" w14:textId="77777777" w:rsidR="005943D3" w:rsidRPr="005943D3" w:rsidRDefault="005943D3" w:rsidP="005943D3">
            <w:pPr>
              <w:spacing w:beforeLines="40" w:before="96" w:afterLines="40" w:after="96"/>
              <w:rPr>
                <w:rFonts w:eastAsia="Calibri"/>
              </w:rPr>
            </w:pPr>
          </w:p>
        </w:tc>
        <w:tc>
          <w:tcPr>
            <w:tcW w:w="679" w:type="dxa"/>
          </w:tcPr>
          <w:p w14:paraId="2107F206" w14:textId="77777777" w:rsidR="005943D3" w:rsidRPr="005943D3" w:rsidRDefault="000F3BD8" w:rsidP="005943D3">
            <w:pPr>
              <w:spacing w:beforeLines="40" w:before="96" w:afterLines="40" w:after="96"/>
              <w:rPr>
                <w:rFonts w:eastAsia="Calibri"/>
                <w:b/>
                <w:bCs/>
              </w:rPr>
            </w:pPr>
            <w:r w:rsidRPr="005943D3">
              <w:rPr>
                <w:rFonts w:eastAsia="Calibri"/>
                <w:b/>
                <w:bCs/>
              </w:rPr>
              <w:t>No</w:t>
            </w:r>
          </w:p>
        </w:tc>
        <w:tc>
          <w:tcPr>
            <w:tcW w:w="1671" w:type="dxa"/>
          </w:tcPr>
          <w:p w14:paraId="2107F207" w14:textId="7B48BE02" w:rsidR="005943D3" w:rsidRPr="005943D3" w:rsidRDefault="005943D3" w:rsidP="005943D3">
            <w:pPr>
              <w:spacing w:beforeLines="40" w:before="96" w:afterLines="40" w:after="96"/>
              <w:rPr>
                <w:rFonts w:eastAsia="Calibri"/>
              </w:rPr>
            </w:pPr>
          </w:p>
        </w:tc>
      </w:tr>
      <w:tr w:rsidR="002B0C5D" w14:paraId="2107F20A" w14:textId="77777777" w:rsidTr="00D34626">
        <w:tc>
          <w:tcPr>
            <w:tcW w:w="10207" w:type="dxa"/>
            <w:gridSpan w:val="9"/>
            <w:shd w:val="clear" w:color="auto" w:fill="F2F2F2"/>
          </w:tcPr>
          <w:p w14:paraId="2107F209" w14:textId="77777777" w:rsidR="005943D3" w:rsidRPr="005943D3" w:rsidRDefault="000F3BD8" w:rsidP="009354E9">
            <w:pPr>
              <w:pStyle w:val="ListParagraph"/>
              <w:numPr>
                <w:ilvl w:val="0"/>
                <w:numId w:val="3"/>
              </w:numPr>
              <w:spacing w:before="200" w:after="120" w:line="240" w:lineRule="auto"/>
              <w:ind w:left="307" w:hanging="284"/>
              <w:rPr>
                <w:b/>
              </w:rPr>
            </w:pPr>
            <w:r w:rsidRPr="005943D3">
              <w:rPr>
                <w:b/>
              </w:rPr>
              <w:t xml:space="preserve">Is the proposed development of a class specified in Part 1 or Part 2, Schedule 5, Planning and Development Regulations 2001 (as amended) </w:t>
            </w:r>
            <w:r w:rsidR="007C60F1">
              <w:rPr>
                <w:b/>
              </w:rPr>
              <w:t>and</w:t>
            </w:r>
            <w:r w:rsidRPr="005943D3">
              <w:rPr>
                <w:b/>
              </w:rPr>
              <w:t xml:space="preserve"> does it equal or exceed any relevant quantity, area or limit where specified for that class?</w:t>
            </w:r>
          </w:p>
        </w:tc>
      </w:tr>
      <w:tr w:rsidR="002B0C5D" w14:paraId="2107F212" w14:textId="77777777" w:rsidTr="00D34626">
        <w:trPr>
          <w:trHeight w:val="615"/>
        </w:trPr>
        <w:tc>
          <w:tcPr>
            <w:tcW w:w="985" w:type="dxa"/>
            <w:gridSpan w:val="2"/>
            <w:shd w:val="clear" w:color="auto" w:fill="auto"/>
          </w:tcPr>
          <w:p w14:paraId="2107F20B" w14:textId="77777777" w:rsidR="005943D3" w:rsidRPr="005943D3" w:rsidRDefault="000F3BD8" w:rsidP="005943D3">
            <w:pPr>
              <w:spacing w:before="200" w:after="120"/>
              <w:rPr>
                <w:rFonts w:eastAsia="Calibri"/>
                <w:bCs/>
              </w:rPr>
            </w:pPr>
            <w:r w:rsidRPr="005943D3">
              <w:rPr>
                <w:rFonts w:eastAsia="Calibri"/>
                <w:b/>
              </w:rPr>
              <w:t xml:space="preserve">  Yes</w:t>
            </w:r>
            <w:r w:rsidRPr="005943D3">
              <w:rPr>
                <w:rFonts w:eastAsia="Calibri"/>
                <w:bCs/>
              </w:rPr>
              <w:t xml:space="preserve"> </w:t>
            </w:r>
          </w:p>
          <w:p w14:paraId="2107F20C" w14:textId="77777777" w:rsidR="005943D3" w:rsidRPr="005943D3" w:rsidRDefault="005943D3" w:rsidP="005943D3">
            <w:pPr>
              <w:spacing w:before="200" w:after="120"/>
              <w:ind w:left="307"/>
              <w:contextualSpacing/>
              <w:rPr>
                <w:rFonts w:eastAsia="Calibri"/>
                <w:bCs/>
              </w:rPr>
            </w:pPr>
          </w:p>
        </w:tc>
        <w:tc>
          <w:tcPr>
            <w:tcW w:w="717" w:type="dxa"/>
            <w:shd w:val="clear" w:color="auto" w:fill="auto"/>
          </w:tcPr>
          <w:p w14:paraId="2107F20D" w14:textId="77777777" w:rsidR="005943D3" w:rsidRPr="005943D3" w:rsidRDefault="005943D3" w:rsidP="005943D3">
            <w:pPr>
              <w:rPr>
                <w:rFonts w:eastAsia="Calibri"/>
                <w:bCs/>
              </w:rPr>
            </w:pPr>
          </w:p>
          <w:p w14:paraId="2107F20E" w14:textId="4B2828F4" w:rsidR="005943D3" w:rsidRPr="005943D3" w:rsidRDefault="00A246CE" w:rsidP="005943D3">
            <w:pPr>
              <w:spacing w:before="200" w:after="120"/>
              <w:ind w:left="307"/>
              <w:contextualSpacing/>
              <w:rPr>
                <w:rFonts w:eastAsia="Calibri"/>
                <w:bCs/>
              </w:rPr>
            </w:pPr>
            <w:r>
              <w:rPr>
                <w:rFonts w:eastAsia="Calibri"/>
                <w:bCs/>
              </w:rPr>
              <w:t>X</w:t>
            </w:r>
          </w:p>
        </w:tc>
        <w:tc>
          <w:tcPr>
            <w:tcW w:w="6136" w:type="dxa"/>
            <w:gridSpan w:val="3"/>
            <w:shd w:val="clear" w:color="auto" w:fill="auto"/>
          </w:tcPr>
          <w:p w14:paraId="2107F20F" w14:textId="4AC037C4" w:rsidR="005943D3" w:rsidRPr="005943D3" w:rsidRDefault="00A246CE" w:rsidP="00A246CE">
            <w:pPr>
              <w:spacing w:before="200" w:after="120"/>
              <w:ind w:left="68"/>
              <w:contextualSpacing/>
              <w:rPr>
                <w:rFonts w:eastAsia="Calibri"/>
                <w:bCs/>
              </w:rPr>
            </w:pPr>
            <w:r>
              <w:t>Class 2 (a) under Part 1 Schedule 5 of the Planning and Development Regulations 2001 (as amended) ‘</w:t>
            </w:r>
            <w:r w:rsidRPr="004A5036">
              <w:rPr>
                <w:i/>
                <w:iCs/>
              </w:rPr>
              <w:t>a thermal power station or other combustion installation with a heat output of 3</w:t>
            </w:r>
            <w:r>
              <w:rPr>
                <w:i/>
                <w:iCs/>
              </w:rPr>
              <w:t>00</w:t>
            </w:r>
            <w:r w:rsidRPr="004A5036">
              <w:rPr>
                <w:i/>
                <w:iCs/>
              </w:rPr>
              <w:t xml:space="preserve"> megawatts or more’</w:t>
            </w:r>
            <w:r>
              <w:t xml:space="preserve">.  </w:t>
            </w:r>
          </w:p>
        </w:tc>
        <w:tc>
          <w:tcPr>
            <w:tcW w:w="2369" w:type="dxa"/>
            <w:gridSpan w:val="3"/>
            <w:shd w:val="clear" w:color="auto" w:fill="auto"/>
          </w:tcPr>
          <w:p w14:paraId="2107F210" w14:textId="77777777" w:rsidR="005943D3" w:rsidRPr="005943D3" w:rsidRDefault="000F3BD8" w:rsidP="005943D3">
            <w:pPr>
              <w:spacing w:before="200" w:after="120"/>
              <w:contextualSpacing/>
              <w:rPr>
                <w:rFonts w:eastAsia="Calibri"/>
                <w:bCs/>
              </w:rPr>
            </w:pPr>
            <w:r w:rsidRPr="005943D3">
              <w:rPr>
                <w:rFonts w:eastAsia="Calibri"/>
                <w:bCs/>
              </w:rPr>
              <w:t>EIA Mandatory</w:t>
            </w:r>
          </w:p>
          <w:p w14:paraId="2107F211" w14:textId="30AE5361" w:rsidR="005943D3" w:rsidRPr="005943D3" w:rsidRDefault="005943D3" w:rsidP="005943D3">
            <w:pPr>
              <w:spacing w:before="200" w:after="120"/>
              <w:contextualSpacing/>
              <w:rPr>
                <w:rFonts w:eastAsia="Calibri"/>
                <w:bCs/>
              </w:rPr>
            </w:pPr>
          </w:p>
        </w:tc>
      </w:tr>
      <w:tr w:rsidR="002B0C5D" w14:paraId="2107F21A" w14:textId="77777777" w:rsidTr="00D34626">
        <w:trPr>
          <w:trHeight w:val="690"/>
        </w:trPr>
        <w:tc>
          <w:tcPr>
            <w:tcW w:w="985" w:type="dxa"/>
            <w:gridSpan w:val="2"/>
            <w:shd w:val="clear" w:color="auto" w:fill="auto"/>
          </w:tcPr>
          <w:p w14:paraId="2107F213" w14:textId="77777777" w:rsidR="005943D3" w:rsidRPr="005943D3" w:rsidRDefault="000F3BD8" w:rsidP="005943D3">
            <w:pPr>
              <w:spacing w:before="200" w:after="120"/>
              <w:rPr>
                <w:rFonts w:eastAsia="Calibri"/>
                <w:b/>
              </w:rPr>
            </w:pPr>
            <w:r w:rsidRPr="005943D3">
              <w:rPr>
                <w:rFonts w:eastAsia="Calibri"/>
                <w:b/>
              </w:rPr>
              <w:t xml:space="preserve">  No </w:t>
            </w:r>
          </w:p>
          <w:p w14:paraId="2107F214" w14:textId="77777777" w:rsidR="005943D3" w:rsidRPr="005943D3" w:rsidRDefault="005943D3" w:rsidP="005943D3">
            <w:pPr>
              <w:spacing w:before="200" w:after="120"/>
              <w:ind w:left="307"/>
              <w:contextualSpacing/>
              <w:rPr>
                <w:rFonts w:eastAsia="Calibri"/>
                <w:bCs/>
              </w:rPr>
            </w:pPr>
          </w:p>
        </w:tc>
        <w:tc>
          <w:tcPr>
            <w:tcW w:w="717" w:type="dxa"/>
            <w:shd w:val="clear" w:color="auto" w:fill="auto"/>
          </w:tcPr>
          <w:p w14:paraId="2107F215" w14:textId="77777777" w:rsidR="005943D3" w:rsidRPr="005943D3" w:rsidRDefault="005943D3" w:rsidP="005943D3">
            <w:pPr>
              <w:rPr>
                <w:rFonts w:eastAsia="Calibri"/>
                <w:bCs/>
              </w:rPr>
            </w:pPr>
          </w:p>
          <w:p w14:paraId="2107F216" w14:textId="77777777" w:rsidR="005943D3" w:rsidRPr="005943D3" w:rsidRDefault="005943D3" w:rsidP="005943D3">
            <w:pPr>
              <w:spacing w:before="200" w:after="120"/>
              <w:ind w:left="307"/>
              <w:contextualSpacing/>
              <w:rPr>
                <w:rFonts w:eastAsia="Calibri"/>
                <w:bCs/>
              </w:rPr>
            </w:pPr>
          </w:p>
        </w:tc>
        <w:tc>
          <w:tcPr>
            <w:tcW w:w="6136" w:type="dxa"/>
            <w:gridSpan w:val="3"/>
            <w:shd w:val="clear" w:color="auto" w:fill="auto"/>
          </w:tcPr>
          <w:p w14:paraId="2107F217" w14:textId="77777777" w:rsidR="005943D3" w:rsidRPr="005943D3" w:rsidRDefault="005943D3" w:rsidP="005943D3">
            <w:pPr>
              <w:rPr>
                <w:rFonts w:eastAsia="Calibri"/>
                <w:bCs/>
              </w:rPr>
            </w:pPr>
          </w:p>
          <w:p w14:paraId="2107F218" w14:textId="77777777" w:rsidR="005943D3" w:rsidRPr="005943D3" w:rsidRDefault="005943D3" w:rsidP="005943D3">
            <w:pPr>
              <w:spacing w:before="200" w:after="120"/>
              <w:ind w:left="307"/>
              <w:contextualSpacing/>
              <w:rPr>
                <w:rFonts w:eastAsia="Calibri"/>
                <w:bCs/>
              </w:rPr>
            </w:pPr>
          </w:p>
        </w:tc>
        <w:tc>
          <w:tcPr>
            <w:tcW w:w="2369" w:type="dxa"/>
            <w:gridSpan w:val="3"/>
            <w:shd w:val="clear" w:color="auto" w:fill="auto"/>
          </w:tcPr>
          <w:p w14:paraId="2107F219" w14:textId="77777777" w:rsidR="005943D3" w:rsidRPr="005943D3" w:rsidRDefault="000F3BD8" w:rsidP="005943D3">
            <w:pPr>
              <w:spacing w:before="200" w:after="120"/>
              <w:contextualSpacing/>
              <w:rPr>
                <w:rFonts w:eastAsia="Calibri"/>
                <w:bCs/>
              </w:rPr>
            </w:pPr>
            <w:r w:rsidRPr="005943D3">
              <w:rPr>
                <w:rFonts w:eastAsia="Calibri"/>
                <w:bCs/>
              </w:rPr>
              <w:t>Proceed to Q.3</w:t>
            </w:r>
          </w:p>
        </w:tc>
      </w:tr>
      <w:tr w:rsidR="002B0C5D" w14:paraId="2107F21D" w14:textId="77777777" w:rsidTr="00D34626">
        <w:trPr>
          <w:trHeight w:val="690"/>
        </w:trPr>
        <w:tc>
          <w:tcPr>
            <w:tcW w:w="10207" w:type="dxa"/>
            <w:gridSpan w:val="9"/>
            <w:shd w:val="clear" w:color="auto" w:fill="F2F2F2"/>
          </w:tcPr>
          <w:p w14:paraId="2107F21B" w14:textId="77777777" w:rsidR="005943D3" w:rsidRDefault="000F3BD8" w:rsidP="009354E9">
            <w:pPr>
              <w:pStyle w:val="ListParagraph"/>
              <w:numPr>
                <w:ilvl w:val="0"/>
                <w:numId w:val="3"/>
              </w:numPr>
              <w:spacing w:before="200" w:after="120" w:line="240" w:lineRule="auto"/>
              <w:ind w:left="314" w:hanging="284"/>
              <w:rPr>
                <w:b/>
              </w:rPr>
            </w:pPr>
            <w:r w:rsidRPr="005943D3">
              <w:rPr>
                <w:b/>
              </w:rPr>
              <w:t>Is the proposed development of a class specified in Part 2, Schedule 5, Planning and Development Regulations 2001 (as amended) but does not equal or exceed a relevant quantity, area or other limit specified [sub-threshold development]?</w:t>
            </w:r>
          </w:p>
          <w:p w14:paraId="2107F21C" w14:textId="77777777" w:rsidR="005943D3" w:rsidRPr="005943D3" w:rsidRDefault="005943D3" w:rsidP="005943D3">
            <w:pPr>
              <w:pStyle w:val="ListParagraph"/>
              <w:spacing w:before="200" w:after="120" w:line="240" w:lineRule="auto"/>
              <w:ind w:left="314"/>
              <w:rPr>
                <w:b/>
              </w:rPr>
            </w:pPr>
          </w:p>
        </w:tc>
      </w:tr>
      <w:tr w:rsidR="002B0C5D" w14:paraId="2107F223" w14:textId="77777777" w:rsidTr="00D34626">
        <w:tc>
          <w:tcPr>
            <w:tcW w:w="1702" w:type="dxa"/>
            <w:gridSpan w:val="3"/>
            <w:shd w:val="clear" w:color="auto" w:fill="FFFFFF"/>
          </w:tcPr>
          <w:p w14:paraId="2107F21E" w14:textId="77777777" w:rsidR="005943D3" w:rsidRPr="005943D3" w:rsidRDefault="005943D3" w:rsidP="005943D3">
            <w:pPr>
              <w:spacing w:beforeLines="40" w:before="96" w:afterLines="40" w:after="96"/>
              <w:jc w:val="right"/>
              <w:rPr>
                <w:rFonts w:eastAsia="Calibri"/>
              </w:rPr>
            </w:pPr>
          </w:p>
        </w:tc>
        <w:tc>
          <w:tcPr>
            <w:tcW w:w="3999" w:type="dxa"/>
            <w:gridSpan w:val="2"/>
            <w:shd w:val="clear" w:color="auto" w:fill="FFFFFF"/>
          </w:tcPr>
          <w:p w14:paraId="2107F21F" w14:textId="77777777" w:rsidR="005943D3" w:rsidRPr="005943D3" w:rsidRDefault="000F3BD8" w:rsidP="005943D3">
            <w:pPr>
              <w:spacing w:beforeLines="40" w:before="96" w:afterLines="40" w:after="96"/>
              <w:jc w:val="center"/>
              <w:rPr>
                <w:rFonts w:eastAsia="Calibri"/>
              </w:rPr>
            </w:pPr>
            <w:r w:rsidRPr="005943D3">
              <w:rPr>
                <w:rFonts w:eastAsia="Calibri"/>
                <w:b/>
              </w:rPr>
              <w:t>Threshold</w:t>
            </w:r>
          </w:p>
        </w:tc>
        <w:tc>
          <w:tcPr>
            <w:tcW w:w="2156" w:type="dxa"/>
            <w:gridSpan w:val="2"/>
            <w:shd w:val="clear" w:color="auto" w:fill="FFFFFF"/>
          </w:tcPr>
          <w:p w14:paraId="2107F220" w14:textId="77777777" w:rsidR="005943D3" w:rsidRPr="005943D3" w:rsidRDefault="000F3BD8" w:rsidP="005943D3">
            <w:pPr>
              <w:spacing w:beforeLines="40" w:before="96" w:afterLines="40" w:after="96"/>
              <w:jc w:val="center"/>
              <w:rPr>
                <w:rFonts w:eastAsia="Calibri"/>
                <w:b/>
              </w:rPr>
            </w:pPr>
            <w:r w:rsidRPr="005943D3">
              <w:rPr>
                <w:rFonts w:eastAsia="Calibri"/>
                <w:b/>
              </w:rPr>
              <w:t>Comment</w:t>
            </w:r>
          </w:p>
          <w:p w14:paraId="2107F221" w14:textId="77777777" w:rsidR="005943D3" w:rsidRPr="005943D3" w:rsidRDefault="000F3BD8" w:rsidP="005943D3">
            <w:pPr>
              <w:spacing w:beforeLines="40" w:before="96" w:afterLines="40" w:after="96"/>
              <w:jc w:val="center"/>
              <w:rPr>
                <w:rFonts w:eastAsia="Calibri"/>
              </w:rPr>
            </w:pPr>
            <w:r w:rsidRPr="005943D3">
              <w:rPr>
                <w:rFonts w:eastAsia="Calibri"/>
                <w:b/>
              </w:rPr>
              <w:t>(if relevant)</w:t>
            </w:r>
          </w:p>
        </w:tc>
        <w:tc>
          <w:tcPr>
            <w:tcW w:w="2350" w:type="dxa"/>
            <w:gridSpan w:val="2"/>
            <w:shd w:val="clear" w:color="auto" w:fill="FFFFFF"/>
          </w:tcPr>
          <w:p w14:paraId="2107F222" w14:textId="77777777" w:rsidR="005943D3" w:rsidRPr="005943D3" w:rsidRDefault="000F3BD8" w:rsidP="005943D3">
            <w:pPr>
              <w:spacing w:beforeLines="40" w:before="96" w:afterLines="40" w:after="96"/>
              <w:jc w:val="center"/>
              <w:rPr>
                <w:rFonts w:eastAsia="Calibri"/>
                <w:b/>
              </w:rPr>
            </w:pPr>
            <w:r w:rsidRPr="005943D3">
              <w:rPr>
                <w:rFonts w:eastAsia="Calibri"/>
                <w:b/>
              </w:rPr>
              <w:t>Conclusion</w:t>
            </w:r>
          </w:p>
        </w:tc>
      </w:tr>
      <w:tr w:rsidR="002B0C5D" w14:paraId="2107F229" w14:textId="77777777" w:rsidTr="00D34626">
        <w:trPr>
          <w:trHeight w:val="825"/>
        </w:trPr>
        <w:tc>
          <w:tcPr>
            <w:tcW w:w="966" w:type="dxa"/>
          </w:tcPr>
          <w:p w14:paraId="2107F224" w14:textId="77777777" w:rsidR="005943D3" w:rsidRPr="005943D3" w:rsidRDefault="000F3BD8" w:rsidP="005943D3">
            <w:pPr>
              <w:spacing w:beforeLines="40" w:before="96" w:afterLines="40" w:after="96"/>
              <w:rPr>
                <w:rFonts w:eastAsia="Calibri"/>
                <w:b/>
              </w:rPr>
            </w:pPr>
            <w:r w:rsidRPr="005943D3">
              <w:rPr>
                <w:rFonts w:eastAsia="Calibri"/>
                <w:b/>
              </w:rPr>
              <w:t>No</w:t>
            </w:r>
          </w:p>
        </w:tc>
        <w:tc>
          <w:tcPr>
            <w:tcW w:w="736" w:type="dxa"/>
            <w:gridSpan w:val="2"/>
          </w:tcPr>
          <w:p w14:paraId="2107F225" w14:textId="77777777" w:rsidR="005943D3" w:rsidRPr="005943D3" w:rsidRDefault="005943D3" w:rsidP="005943D3">
            <w:pPr>
              <w:spacing w:beforeLines="40" w:before="96" w:afterLines="40" w:after="96"/>
              <w:rPr>
                <w:rFonts w:eastAsia="Calibri"/>
              </w:rPr>
            </w:pPr>
          </w:p>
        </w:tc>
        <w:tc>
          <w:tcPr>
            <w:tcW w:w="3999" w:type="dxa"/>
            <w:gridSpan w:val="2"/>
          </w:tcPr>
          <w:p w14:paraId="2107F226" w14:textId="77777777" w:rsidR="005943D3" w:rsidRPr="005943D3" w:rsidRDefault="000F3BD8" w:rsidP="005943D3">
            <w:pPr>
              <w:spacing w:beforeLines="40" w:before="96" w:afterLines="40" w:after="96"/>
              <w:jc w:val="center"/>
              <w:rPr>
                <w:rFonts w:eastAsia="Calibri"/>
              </w:rPr>
            </w:pPr>
            <w:r w:rsidRPr="005943D3">
              <w:rPr>
                <w:rFonts w:eastAsia="Calibri"/>
              </w:rPr>
              <w:t>N/A</w:t>
            </w:r>
          </w:p>
        </w:tc>
        <w:tc>
          <w:tcPr>
            <w:tcW w:w="2156" w:type="dxa"/>
            <w:gridSpan w:val="2"/>
          </w:tcPr>
          <w:p w14:paraId="2107F227" w14:textId="77777777" w:rsidR="005943D3" w:rsidRPr="005943D3" w:rsidRDefault="005943D3" w:rsidP="005943D3">
            <w:pPr>
              <w:spacing w:beforeLines="40" w:before="96" w:afterLines="40" w:after="96"/>
              <w:rPr>
                <w:rFonts w:eastAsia="Calibri"/>
              </w:rPr>
            </w:pPr>
          </w:p>
        </w:tc>
        <w:tc>
          <w:tcPr>
            <w:tcW w:w="2350" w:type="dxa"/>
            <w:gridSpan w:val="2"/>
          </w:tcPr>
          <w:p w14:paraId="2107F228" w14:textId="2CBEF37A" w:rsidR="005943D3" w:rsidRPr="005943D3" w:rsidRDefault="00392B75" w:rsidP="005943D3">
            <w:pPr>
              <w:spacing w:beforeLines="40" w:before="96" w:afterLines="40" w:after="96"/>
              <w:rPr>
                <w:rFonts w:eastAsia="Calibri"/>
              </w:rPr>
            </w:pPr>
            <w:r>
              <w:rPr>
                <w:rFonts w:eastAsia="Calibri"/>
              </w:rPr>
              <w:t>N/A</w:t>
            </w:r>
          </w:p>
        </w:tc>
      </w:tr>
      <w:tr w:rsidR="002B0C5D" w14:paraId="2107F22F" w14:textId="77777777" w:rsidTr="00D34626">
        <w:tc>
          <w:tcPr>
            <w:tcW w:w="966" w:type="dxa"/>
          </w:tcPr>
          <w:p w14:paraId="2107F22A" w14:textId="77777777" w:rsidR="005943D3" w:rsidRPr="005943D3" w:rsidRDefault="000F3BD8" w:rsidP="005943D3">
            <w:pPr>
              <w:spacing w:beforeLines="40" w:before="96" w:afterLines="40" w:after="96"/>
              <w:rPr>
                <w:rFonts w:eastAsia="Calibri"/>
                <w:b/>
              </w:rPr>
            </w:pPr>
            <w:r w:rsidRPr="005943D3">
              <w:rPr>
                <w:rFonts w:eastAsia="Calibri"/>
                <w:b/>
              </w:rPr>
              <w:t>Yes</w:t>
            </w:r>
          </w:p>
        </w:tc>
        <w:tc>
          <w:tcPr>
            <w:tcW w:w="736" w:type="dxa"/>
            <w:gridSpan w:val="2"/>
          </w:tcPr>
          <w:p w14:paraId="2107F22B" w14:textId="77777777" w:rsidR="005943D3" w:rsidRPr="005943D3" w:rsidRDefault="005943D3" w:rsidP="005943D3">
            <w:pPr>
              <w:spacing w:beforeLines="40" w:before="96" w:afterLines="40" w:after="96"/>
              <w:rPr>
                <w:rFonts w:eastAsia="Calibri"/>
              </w:rPr>
            </w:pPr>
          </w:p>
        </w:tc>
        <w:tc>
          <w:tcPr>
            <w:tcW w:w="3999" w:type="dxa"/>
            <w:gridSpan w:val="2"/>
          </w:tcPr>
          <w:p w14:paraId="2107F22C" w14:textId="77777777" w:rsidR="005943D3" w:rsidRPr="005943D3" w:rsidRDefault="000F3BD8" w:rsidP="005943D3">
            <w:pPr>
              <w:spacing w:beforeLines="40" w:before="96" w:afterLines="40" w:after="96"/>
              <w:rPr>
                <w:rFonts w:eastAsia="Calibri"/>
              </w:rPr>
            </w:pPr>
            <w:r w:rsidRPr="005943D3">
              <w:rPr>
                <w:rFonts w:eastAsia="Calibri"/>
              </w:rPr>
              <w:t>Class/Threshold</w:t>
            </w:r>
            <w:proofErr w:type="gramStart"/>
            <w:r w:rsidRPr="005943D3">
              <w:rPr>
                <w:rFonts w:eastAsia="Calibri"/>
              </w:rPr>
              <w:t>…..</w:t>
            </w:r>
            <w:proofErr w:type="gramEnd"/>
          </w:p>
        </w:tc>
        <w:tc>
          <w:tcPr>
            <w:tcW w:w="2156" w:type="dxa"/>
            <w:gridSpan w:val="2"/>
          </w:tcPr>
          <w:p w14:paraId="2107F22D" w14:textId="77777777" w:rsidR="005943D3" w:rsidRPr="005943D3" w:rsidRDefault="005943D3" w:rsidP="005943D3">
            <w:pPr>
              <w:spacing w:beforeLines="40" w:before="96" w:afterLines="40" w:after="96"/>
              <w:rPr>
                <w:rFonts w:eastAsia="Calibri"/>
              </w:rPr>
            </w:pPr>
          </w:p>
        </w:tc>
        <w:tc>
          <w:tcPr>
            <w:tcW w:w="2350" w:type="dxa"/>
            <w:gridSpan w:val="2"/>
          </w:tcPr>
          <w:p w14:paraId="2107F22E" w14:textId="7EBAF233" w:rsidR="005943D3" w:rsidRPr="005943D3" w:rsidRDefault="00392B75" w:rsidP="005943D3">
            <w:pPr>
              <w:spacing w:beforeLines="40" w:before="96" w:afterLines="40" w:after="96"/>
              <w:rPr>
                <w:rFonts w:eastAsia="Calibri"/>
              </w:rPr>
            </w:pPr>
            <w:r>
              <w:rPr>
                <w:rFonts w:eastAsia="Calibri"/>
              </w:rPr>
              <w:t>N/A</w:t>
            </w:r>
          </w:p>
        </w:tc>
      </w:tr>
    </w:tbl>
    <w:p w14:paraId="2107F230" w14:textId="77777777" w:rsidR="005943D3" w:rsidRPr="005943D3" w:rsidRDefault="005943D3" w:rsidP="005943D3">
      <w:pPr>
        <w:spacing w:after="0" w:line="240" w:lineRule="auto"/>
        <w:rPr>
          <w:rFonts w:ascii="Arial" w:eastAsia="Calibri" w:hAnsi="Arial" w:cs="Arial"/>
          <w:b/>
          <w:sz w:val="24"/>
          <w:szCs w:val="24"/>
        </w:rPr>
      </w:pPr>
    </w:p>
    <w:p w14:paraId="2107F231" w14:textId="77777777" w:rsidR="005943D3" w:rsidRPr="005943D3" w:rsidRDefault="005943D3" w:rsidP="005943D3">
      <w:pPr>
        <w:spacing w:after="0" w:line="460" w:lineRule="exact"/>
        <w:ind w:left="227"/>
        <w:rPr>
          <w:rFonts w:ascii="Arial" w:eastAsia="Calibri" w:hAnsi="Arial" w:cs="Arial"/>
          <w:sz w:val="24"/>
          <w:szCs w:val="24"/>
        </w:rPr>
      </w:pPr>
    </w:p>
    <w:tbl>
      <w:tblPr>
        <w:tblStyle w:val="TableGrid1"/>
        <w:tblW w:w="10207" w:type="dxa"/>
        <w:tblInd w:w="-596" w:type="dxa"/>
        <w:tblLook w:val="04A0" w:firstRow="1" w:lastRow="0" w:firstColumn="1" w:lastColumn="0" w:noHBand="0" w:noVBand="1"/>
      </w:tblPr>
      <w:tblGrid>
        <w:gridCol w:w="1193"/>
        <w:gridCol w:w="2833"/>
        <w:gridCol w:w="6181"/>
      </w:tblGrid>
      <w:tr w:rsidR="002B0C5D" w14:paraId="2107F233" w14:textId="77777777" w:rsidTr="00D34626">
        <w:trPr>
          <w:trHeight w:val="765"/>
        </w:trPr>
        <w:tc>
          <w:tcPr>
            <w:tcW w:w="10207" w:type="dxa"/>
            <w:gridSpan w:val="3"/>
            <w:shd w:val="clear" w:color="auto" w:fill="F2F2F2" w:themeFill="background1" w:themeFillShade="F2"/>
          </w:tcPr>
          <w:p w14:paraId="2107F232" w14:textId="77777777" w:rsidR="005943D3" w:rsidRPr="005943D3" w:rsidRDefault="000F3BD8" w:rsidP="005943D3">
            <w:pPr>
              <w:spacing w:beforeLines="40" w:before="96" w:afterLines="40" w:after="96"/>
              <w:rPr>
                <w:rFonts w:eastAsia="Calibri"/>
              </w:rPr>
            </w:pPr>
            <w:r w:rsidRPr="005943D3">
              <w:rPr>
                <w:b/>
              </w:rPr>
              <w:lastRenderedPageBreak/>
              <w:t>4. Has Schedule 7A information been submitted?</w:t>
            </w:r>
            <w:r w:rsidRPr="005943D3">
              <w:rPr>
                <w:rFonts w:eastAsia="Calibri"/>
                <w:b/>
              </w:rPr>
              <w:t xml:space="preserve"> </w:t>
            </w:r>
          </w:p>
        </w:tc>
      </w:tr>
      <w:tr w:rsidR="002B0C5D" w14:paraId="2107F237" w14:textId="77777777" w:rsidTr="00D34626">
        <w:trPr>
          <w:trHeight w:val="497"/>
        </w:trPr>
        <w:tc>
          <w:tcPr>
            <w:tcW w:w="1193" w:type="dxa"/>
          </w:tcPr>
          <w:p w14:paraId="2107F234" w14:textId="77777777" w:rsidR="005943D3" w:rsidRPr="005943D3" w:rsidRDefault="000F3BD8" w:rsidP="005943D3">
            <w:pPr>
              <w:spacing w:beforeLines="40" w:before="96" w:afterLines="40" w:after="96"/>
              <w:ind w:right="322"/>
              <w:jc w:val="center"/>
              <w:rPr>
                <w:rFonts w:eastAsia="Calibri"/>
                <w:b/>
              </w:rPr>
            </w:pPr>
            <w:r w:rsidRPr="005943D3">
              <w:rPr>
                <w:rFonts w:eastAsia="Calibri"/>
                <w:b/>
              </w:rPr>
              <w:t>No</w:t>
            </w:r>
          </w:p>
        </w:tc>
        <w:tc>
          <w:tcPr>
            <w:tcW w:w="2833" w:type="dxa"/>
          </w:tcPr>
          <w:p w14:paraId="2107F235" w14:textId="376926FE" w:rsidR="005943D3" w:rsidRPr="005943D3" w:rsidRDefault="00392B75" w:rsidP="005943D3">
            <w:pPr>
              <w:ind w:left="227"/>
              <w:rPr>
                <w:rFonts w:eastAsia="Calibri"/>
              </w:rPr>
            </w:pPr>
            <w:r>
              <w:rPr>
                <w:rFonts w:eastAsia="Calibri"/>
              </w:rPr>
              <w:t>N/A</w:t>
            </w:r>
          </w:p>
        </w:tc>
        <w:tc>
          <w:tcPr>
            <w:tcW w:w="6181" w:type="dxa"/>
          </w:tcPr>
          <w:p w14:paraId="2107F236" w14:textId="77777777" w:rsidR="005943D3" w:rsidRPr="005943D3" w:rsidRDefault="000F3BD8" w:rsidP="005943D3">
            <w:pPr>
              <w:spacing w:beforeLines="40" w:before="96" w:afterLines="40" w:after="96"/>
              <w:ind w:left="227" w:right="322"/>
              <w:jc w:val="center"/>
              <w:rPr>
                <w:rFonts w:eastAsia="Calibri"/>
                <w:b/>
              </w:rPr>
            </w:pPr>
            <w:r w:rsidRPr="005943D3">
              <w:rPr>
                <w:rFonts w:eastAsia="Calibri"/>
                <w:b/>
              </w:rPr>
              <w:t>Preliminary Examination required</w:t>
            </w:r>
          </w:p>
        </w:tc>
      </w:tr>
      <w:tr w:rsidR="002B0C5D" w14:paraId="2107F23B" w14:textId="77777777" w:rsidTr="00D34626">
        <w:trPr>
          <w:trHeight w:val="435"/>
        </w:trPr>
        <w:tc>
          <w:tcPr>
            <w:tcW w:w="1193" w:type="dxa"/>
          </w:tcPr>
          <w:p w14:paraId="2107F238" w14:textId="77777777" w:rsidR="005943D3" w:rsidRPr="005943D3" w:rsidRDefault="000F3BD8" w:rsidP="005943D3">
            <w:pPr>
              <w:spacing w:beforeLines="40" w:before="96" w:afterLines="40" w:after="96"/>
              <w:ind w:right="322"/>
              <w:jc w:val="center"/>
              <w:rPr>
                <w:b/>
                <w:bCs/>
              </w:rPr>
            </w:pPr>
            <w:r w:rsidRPr="005943D3">
              <w:rPr>
                <w:b/>
                <w:bCs/>
              </w:rPr>
              <w:t>Yes</w:t>
            </w:r>
          </w:p>
        </w:tc>
        <w:tc>
          <w:tcPr>
            <w:tcW w:w="2833" w:type="dxa"/>
          </w:tcPr>
          <w:p w14:paraId="2107F239" w14:textId="0520B7D6" w:rsidR="005943D3" w:rsidRPr="005943D3" w:rsidRDefault="00392B75" w:rsidP="00392B75">
            <w:pPr>
              <w:spacing w:beforeLines="40" w:before="96" w:afterLines="40" w:after="96"/>
              <w:ind w:left="227" w:right="322"/>
              <w:rPr>
                <w:rFonts w:eastAsia="Calibri"/>
              </w:rPr>
            </w:pPr>
            <w:r>
              <w:rPr>
                <w:rFonts w:eastAsia="Calibri"/>
              </w:rPr>
              <w:t>N/A</w:t>
            </w:r>
          </w:p>
        </w:tc>
        <w:tc>
          <w:tcPr>
            <w:tcW w:w="6181" w:type="dxa"/>
          </w:tcPr>
          <w:p w14:paraId="2107F23A" w14:textId="77777777" w:rsidR="005943D3" w:rsidRPr="005943D3" w:rsidRDefault="000F3BD8" w:rsidP="005943D3">
            <w:pPr>
              <w:spacing w:beforeLines="40" w:before="96" w:afterLines="40" w:after="96"/>
              <w:ind w:left="227" w:right="322"/>
              <w:jc w:val="center"/>
              <w:rPr>
                <w:rFonts w:eastAsia="Calibri"/>
                <w:b/>
                <w:bCs/>
              </w:rPr>
            </w:pPr>
            <w:r w:rsidRPr="005943D3">
              <w:rPr>
                <w:rFonts w:eastAsia="Calibri"/>
                <w:b/>
                <w:bCs/>
              </w:rPr>
              <w:t>Screening Determination required</w:t>
            </w:r>
          </w:p>
        </w:tc>
      </w:tr>
    </w:tbl>
    <w:p w14:paraId="2107F240" w14:textId="77777777" w:rsidR="00692636" w:rsidRDefault="00692636" w:rsidP="00692636">
      <w:pPr>
        <w:pStyle w:val="01RegularRegularText"/>
        <w:rPr>
          <w:rFonts w:ascii="Arial" w:hAnsi="Arial" w:cs="Arial"/>
        </w:rPr>
      </w:pPr>
    </w:p>
    <w:p w14:paraId="2107F241" w14:textId="77777777" w:rsidR="00692636" w:rsidRPr="00692636" w:rsidRDefault="00692636" w:rsidP="00692636">
      <w:pPr>
        <w:pStyle w:val="01RegularRegularText"/>
        <w:rPr>
          <w:rFonts w:ascii="Arial" w:hAnsi="Arial" w:cs="Arial"/>
        </w:rPr>
      </w:pPr>
    </w:p>
    <w:p w14:paraId="2107F242" w14:textId="71F767CB" w:rsidR="005943D3" w:rsidRPr="00692636" w:rsidRDefault="000F3BD8" w:rsidP="00692636">
      <w:pPr>
        <w:pStyle w:val="01RegularRegularText"/>
        <w:ind w:left="-567"/>
        <w:rPr>
          <w:rFonts w:ascii="Arial" w:hAnsi="Arial" w:cs="Arial"/>
          <w:b/>
          <w:bCs/>
        </w:rPr>
      </w:pPr>
      <w:r w:rsidRPr="00692636">
        <w:rPr>
          <w:rFonts w:ascii="Arial" w:hAnsi="Arial" w:cs="Arial"/>
          <w:b/>
          <w:bCs/>
        </w:rPr>
        <w:t>Inspector:   __</w:t>
      </w:r>
      <w:r w:rsidR="00D82EF9">
        <w:rPr>
          <w:rFonts w:ascii="Arial" w:hAnsi="Arial" w:cs="Arial"/>
          <w:b/>
          <w:bCs/>
        </w:rPr>
        <w:t>Laura Finn</w:t>
      </w:r>
      <w:r w:rsidRPr="00692636">
        <w:rPr>
          <w:rFonts w:ascii="Arial" w:hAnsi="Arial" w:cs="Arial"/>
          <w:b/>
          <w:bCs/>
        </w:rPr>
        <w:t xml:space="preserve">_______________________   Date:  </w:t>
      </w:r>
      <w:r w:rsidRPr="0083561C">
        <w:rPr>
          <w:rFonts w:ascii="Arial" w:hAnsi="Arial" w:cs="Arial"/>
          <w:b/>
          <w:bCs/>
        </w:rPr>
        <w:t>__</w:t>
      </w:r>
      <w:r w:rsidR="00AA5CE3">
        <w:rPr>
          <w:rFonts w:ascii="Arial" w:hAnsi="Arial" w:cs="Arial"/>
          <w:b/>
          <w:bCs/>
        </w:rPr>
        <w:t>21</w:t>
      </w:r>
      <w:proofErr w:type="gramStart"/>
      <w:r w:rsidR="00AA5CE3" w:rsidRPr="00AA5CE3">
        <w:rPr>
          <w:rFonts w:ascii="Arial" w:hAnsi="Arial" w:cs="Arial"/>
          <w:b/>
          <w:bCs/>
          <w:vertAlign w:val="superscript"/>
        </w:rPr>
        <w:t>st</w:t>
      </w:r>
      <w:r w:rsidR="00AA5CE3">
        <w:rPr>
          <w:rFonts w:ascii="Arial" w:hAnsi="Arial" w:cs="Arial"/>
          <w:b/>
          <w:bCs/>
        </w:rPr>
        <w:t xml:space="preserve"> </w:t>
      </w:r>
      <w:r w:rsidR="00D82EF9" w:rsidRPr="0083561C">
        <w:rPr>
          <w:rFonts w:ascii="Arial" w:hAnsi="Arial" w:cs="Arial"/>
          <w:b/>
          <w:bCs/>
        </w:rPr>
        <w:t xml:space="preserve"> June</w:t>
      </w:r>
      <w:proofErr w:type="gramEnd"/>
      <w:r w:rsidR="00D82EF9" w:rsidRPr="0083561C">
        <w:rPr>
          <w:rFonts w:ascii="Arial" w:hAnsi="Arial" w:cs="Arial"/>
          <w:b/>
          <w:bCs/>
        </w:rPr>
        <w:t xml:space="preserve"> 2024</w:t>
      </w:r>
      <w:r w:rsidRPr="0083561C">
        <w:rPr>
          <w:rFonts w:ascii="Arial" w:hAnsi="Arial" w:cs="Arial"/>
          <w:b/>
          <w:bCs/>
        </w:rPr>
        <w:t>_____</w:t>
      </w:r>
    </w:p>
    <w:p w14:paraId="2107F243" w14:textId="77777777" w:rsidR="005943D3" w:rsidRPr="005943D3" w:rsidRDefault="005943D3" w:rsidP="005943D3">
      <w:pPr>
        <w:spacing w:after="0" w:line="460" w:lineRule="exact"/>
        <w:ind w:left="227"/>
        <w:rPr>
          <w:rFonts w:ascii="Arial" w:eastAsia="Calibri" w:hAnsi="Arial" w:cs="Arial"/>
          <w:sz w:val="24"/>
          <w:szCs w:val="24"/>
        </w:rPr>
      </w:pPr>
    </w:p>
    <w:p w14:paraId="2107F244" w14:textId="77777777" w:rsidR="005943D3" w:rsidRDefault="005943D3" w:rsidP="004B5C94">
      <w:pPr>
        <w:spacing w:line="240" w:lineRule="auto"/>
        <w:rPr>
          <w:rFonts w:ascii="Arial" w:hAnsi="Arial" w:cs="Arial"/>
          <w:b/>
          <w:sz w:val="24"/>
          <w:szCs w:val="24"/>
        </w:rPr>
      </w:pPr>
    </w:p>
    <w:p w14:paraId="20A79DC4" w14:textId="77777777" w:rsidR="00F67065" w:rsidRDefault="00F67065" w:rsidP="004B5C94">
      <w:pPr>
        <w:spacing w:line="240" w:lineRule="auto"/>
        <w:rPr>
          <w:rFonts w:ascii="Arial" w:hAnsi="Arial" w:cs="Arial"/>
          <w:b/>
          <w:sz w:val="24"/>
          <w:szCs w:val="24"/>
        </w:rPr>
      </w:pPr>
    </w:p>
    <w:p w14:paraId="407BB2E8" w14:textId="77777777" w:rsidR="00F67065" w:rsidRDefault="00F67065" w:rsidP="004B5C94">
      <w:pPr>
        <w:spacing w:line="240" w:lineRule="auto"/>
        <w:rPr>
          <w:rFonts w:ascii="Arial" w:hAnsi="Arial" w:cs="Arial"/>
          <w:b/>
          <w:sz w:val="24"/>
          <w:szCs w:val="24"/>
        </w:rPr>
      </w:pPr>
    </w:p>
    <w:p w14:paraId="4C0799B4" w14:textId="77777777" w:rsidR="00F67065" w:rsidRDefault="00F67065" w:rsidP="004B5C94">
      <w:pPr>
        <w:spacing w:line="240" w:lineRule="auto"/>
        <w:rPr>
          <w:rFonts w:ascii="Arial" w:hAnsi="Arial" w:cs="Arial"/>
          <w:b/>
          <w:sz w:val="24"/>
          <w:szCs w:val="24"/>
        </w:rPr>
      </w:pPr>
    </w:p>
    <w:p w14:paraId="5816023B" w14:textId="77777777" w:rsidR="00F67065" w:rsidRDefault="00F67065" w:rsidP="004B5C94">
      <w:pPr>
        <w:spacing w:line="240" w:lineRule="auto"/>
        <w:rPr>
          <w:rFonts w:ascii="Arial" w:hAnsi="Arial" w:cs="Arial"/>
          <w:b/>
          <w:sz w:val="24"/>
          <w:szCs w:val="24"/>
        </w:rPr>
      </w:pPr>
    </w:p>
    <w:p w14:paraId="14A66413" w14:textId="77777777" w:rsidR="00F67065" w:rsidRDefault="00F67065" w:rsidP="004B5C94">
      <w:pPr>
        <w:spacing w:line="240" w:lineRule="auto"/>
        <w:rPr>
          <w:rFonts w:ascii="Arial" w:hAnsi="Arial" w:cs="Arial"/>
          <w:b/>
          <w:sz w:val="24"/>
          <w:szCs w:val="24"/>
        </w:rPr>
      </w:pPr>
    </w:p>
    <w:p w14:paraId="6971D5DD" w14:textId="77777777" w:rsidR="00F67065" w:rsidRDefault="00F67065" w:rsidP="004B5C94">
      <w:pPr>
        <w:spacing w:line="240" w:lineRule="auto"/>
        <w:rPr>
          <w:rFonts w:ascii="Arial" w:hAnsi="Arial" w:cs="Arial"/>
          <w:b/>
          <w:sz w:val="24"/>
          <w:szCs w:val="24"/>
        </w:rPr>
      </w:pPr>
    </w:p>
    <w:p w14:paraId="11CD9D68" w14:textId="77777777" w:rsidR="00F67065" w:rsidRDefault="00F67065" w:rsidP="004B5C94">
      <w:pPr>
        <w:spacing w:line="240" w:lineRule="auto"/>
        <w:rPr>
          <w:rFonts w:ascii="Arial" w:hAnsi="Arial" w:cs="Arial"/>
          <w:b/>
          <w:sz w:val="24"/>
          <w:szCs w:val="24"/>
        </w:rPr>
      </w:pPr>
    </w:p>
    <w:p w14:paraId="11DA1C29" w14:textId="77777777" w:rsidR="00F67065" w:rsidRDefault="00F67065" w:rsidP="004B5C94">
      <w:pPr>
        <w:spacing w:line="240" w:lineRule="auto"/>
        <w:rPr>
          <w:rFonts w:ascii="Arial" w:hAnsi="Arial" w:cs="Arial"/>
          <w:b/>
          <w:sz w:val="24"/>
          <w:szCs w:val="24"/>
        </w:rPr>
      </w:pPr>
    </w:p>
    <w:p w14:paraId="2C70DC5E" w14:textId="77777777" w:rsidR="00F67065" w:rsidRDefault="00F67065" w:rsidP="004B5C94">
      <w:pPr>
        <w:spacing w:line="240" w:lineRule="auto"/>
        <w:rPr>
          <w:rFonts w:ascii="Arial" w:hAnsi="Arial" w:cs="Arial"/>
          <w:b/>
          <w:sz w:val="24"/>
          <w:szCs w:val="24"/>
        </w:rPr>
      </w:pPr>
    </w:p>
    <w:p w14:paraId="49A48273" w14:textId="77777777" w:rsidR="00F67065" w:rsidRDefault="00F67065" w:rsidP="004B5C94">
      <w:pPr>
        <w:spacing w:line="240" w:lineRule="auto"/>
        <w:rPr>
          <w:rFonts w:ascii="Arial" w:hAnsi="Arial" w:cs="Arial"/>
          <w:b/>
          <w:sz w:val="24"/>
          <w:szCs w:val="24"/>
        </w:rPr>
      </w:pPr>
    </w:p>
    <w:p w14:paraId="3298E369" w14:textId="77777777" w:rsidR="00F67065" w:rsidRDefault="00F67065" w:rsidP="004B5C94">
      <w:pPr>
        <w:spacing w:line="240" w:lineRule="auto"/>
        <w:rPr>
          <w:rFonts w:ascii="Arial" w:hAnsi="Arial" w:cs="Arial"/>
          <w:b/>
          <w:sz w:val="24"/>
          <w:szCs w:val="24"/>
        </w:rPr>
      </w:pPr>
    </w:p>
    <w:p w14:paraId="29C9CBEB" w14:textId="77777777" w:rsidR="00F67065" w:rsidRDefault="00F67065" w:rsidP="004B5C94">
      <w:pPr>
        <w:spacing w:line="240" w:lineRule="auto"/>
        <w:rPr>
          <w:rFonts w:ascii="Arial" w:hAnsi="Arial" w:cs="Arial"/>
          <w:b/>
          <w:sz w:val="24"/>
          <w:szCs w:val="24"/>
        </w:rPr>
      </w:pPr>
    </w:p>
    <w:p w14:paraId="5AFC34D6" w14:textId="77777777" w:rsidR="00F67065" w:rsidRDefault="00F67065" w:rsidP="004B5C94">
      <w:pPr>
        <w:spacing w:line="240" w:lineRule="auto"/>
        <w:rPr>
          <w:rFonts w:ascii="Arial" w:hAnsi="Arial" w:cs="Arial"/>
          <w:b/>
          <w:sz w:val="24"/>
          <w:szCs w:val="24"/>
        </w:rPr>
      </w:pPr>
    </w:p>
    <w:p w14:paraId="12FEC178" w14:textId="77777777" w:rsidR="00F67065" w:rsidRDefault="00F67065" w:rsidP="004B5C94">
      <w:pPr>
        <w:spacing w:line="240" w:lineRule="auto"/>
        <w:rPr>
          <w:rFonts w:ascii="Arial" w:hAnsi="Arial" w:cs="Arial"/>
          <w:b/>
          <w:sz w:val="24"/>
          <w:szCs w:val="24"/>
        </w:rPr>
      </w:pPr>
    </w:p>
    <w:p w14:paraId="45A6DB7D" w14:textId="77777777" w:rsidR="00D82EF9" w:rsidRDefault="00D82EF9" w:rsidP="004B5C94">
      <w:pPr>
        <w:spacing w:line="240" w:lineRule="auto"/>
        <w:rPr>
          <w:rFonts w:ascii="Arial" w:hAnsi="Arial" w:cs="Arial"/>
          <w:b/>
          <w:sz w:val="24"/>
          <w:szCs w:val="24"/>
        </w:rPr>
      </w:pPr>
    </w:p>
    <w:p w14:paraId="6BF0EAD0" w14:textId="77777777" w:rsidR="00D82EF9" w:rsidRDefault="00D82EF9" w:rsidP="004B5C94">
      <w:pPr>
        <w:spacing w:line="240" w:lineRule="auto"/>
        <w:rPr>
          <w:rFonts w:ascii="Arial" w:hAnsi="Arial" w:cs="Arial"/>
          <w:b/>
          <w:sz w:val="24"/>
          <w:szCs w:val="24"/>
        </w:rPr>
      </w:pPr>
    </w:p>
    <w:p w14:paraId="01C2B3EE" w14:textId="77777777" w:rsidR="00F67065" w:rsidRDefault="00F67065" w:rsidP="004B5C94">
      <w:pPr>
        <w:spacing w:line="240" w:lineRule="auto"/>
        <w:rPr>
          <w:rFonts w:ascii="Arial" w:hAnsi="Arial" w:cs="Arial"/>
          <w:b/>
          <w:sz w:val="24"/>
          <w:szCs w:val="24"/>
        </w:rPr>
      </w:pPr>
    </w:p>
    <w:p w14:paraId="55570B37" w14:textId="77777777" w:rsidR="00F67065" w:rsidRDefault="00F67065" w:rsidP="004B5C94">
      <w:pPr>
        <w:spacing w:line="240" w:lineRule="auto"/>
        <w:rPr>
          <w:rFonts w:ascii="Arial" w:hAnsi="Arial" w:cs="Arial"/>
          <w:b/>
          <w:sz w:val="24"/>
          <w:szCs w:val="24"/>
        </w:rPr>
      </w:pPr>
    </w:p>
    <w:p w14:paraId="0FA76615" w14:textId="77777777" w:rsidR="00F67065" w:rsidRDefault="00F67065" w:rsidP="004B5C94">
      <w:pPr>
        <w:spacing w:line="240" w:lineRule="auto"/>
        <w:rPr>
          <w:rFonts w:ascii="Arial" w:hAnsi="Arial" w:cs="Arial"/>
          <w:b/>
          <w:sz w:val="24"/>
          <w:szCs w:val="24"/>
        </w:rPr>
      </w:pPr>
    </w:p>
    <w:p w14:paraId="539F6931" w14:textId="77777777" w:rsidR="00F67065" w:rsidRPr="0093415C" w:rsidRDefault="00F67065" w:rsidP="00F67065">
      <w:pPr>
        <w:rPr>
          <w:b/>
          <w:bCs/>
          <w:lang w:val="en-US"/>
        </w:rPr>
      </w:pPr>
    </w:p>
    <w:p w14:paraId="25936614" w14:textId="127362E5" w:rsidR="00F67065" w:rsidRPr="00B45BC2" w:rsidRDefault="00F67065" w:rsidP="00B45BC2">
      <w:pPr>
        <w:pStyle w:val="EHead1"/>
        <w:numPr>
          <w:ilvl w:val="0"/>
          <w:numId w:val="0"/>
        </w:numPr>
        <w:jc w:val="center"/>
      </w:pPr>
      <w:bookmarkStart w:id="75" w:name="_Toc171346806"/>
      <w:r w:rsidRPr="00B45BC2">
        <w:lastRenderedPageBreak/>
        <w:t>Appendix 2 – AA Screening Determination</w:t>
      </w:r>
      <w:bookmarkEnd w:id="75"/>
    </w:p>
    <w:tbl>
      <w:tblPr>
        <w:tblStyle w:val="TableGrid"/>
        <w:tblW w:w="9067" w:type="dxa"/>
        <w:tblLook w:val="04A0" w:firstRow="1" w:lastRow="0" w:firstColumn="1" w:lastColumn="0" w:noHBand="0" w:noVBand="1"/>
      </w:tblPr>
      <w:tblGrid>
        <w:gridCol w:w="9067"/>
      </w:tblGrid>
      <w:tr w:rsidR="00F67065" w:rsidRPr="0093415C" w14:paraId="71675499" w14:textId="77777777" w:rsidTr="00E46848">
        <w:tc>
          <w:tcPr>
            <w:tcW w:w="9067" w:type="dxa"/>
            <w:shd w:val="clear" w:color="auto" w:fill="000000" w:themeFill="text1"/>
          </w:tcPr>
          <w:p w14:paraId="22BFC89C" w14:textId="650B3A93" w:rsidR="00F67065" w:rsidRPr="0093415C" w:rsidRDefault="00F67065" w:rsidP="00424F6E">
            <w:pPr>
              <w:jc w:val="center"/>
              <w:rPr>
                <w:b/>
                <w:bCs/>
                <w:lang w:val="en-US"/>
              </w:rPr>
            </w:pPr>
            <w:bookmarkStart w:id="76" w:name="_Hlk118987266"/>
            <w:r w:rsidRPr="0093415C">
              <w:rPr>
                <w:b/>
                <w:bCs/>
                <w:lang w:val="en-US"/>
              </w:rPr>
              <w:t>Screening for Appropriate Assessment</w:t>
            </w:r>
          </w:p>
          <w:p w14:paraId="327FDD1E" w14:textId="77777777" w:rsidR="00F67065" w:rsidRPr="0093415C" w:rsidRDefault="00F67065" w:rsidP="00424F6E">
            <w:pPr>
              <w:jc w:val="center"/>
              <w:rPr>
                <w:b/>
                <w:bCs/>
                <w:lang w:val="en-US"/>
              </w:rPr>
            </w:pPr>
            <w:r w:rsidRPr="0093415C">
              <w:rPr>
                <w:b/>
                <w:bCs/>
                <w:lang w:val="en-US"/>
              </w:rPr>
              <w:t>Screening Determination</w:t>
            </w:r>
          </w:p>
          <w:p w14:paraId="6E529692" w14:textId="77777777" w:rsidR="00F67065" w:rsidRPr="0093415C" w:rsidRDefault="00F67065" w:rsidP="00424F6E">
            <w:pPr>
              <w:jc w:val="both"/>
              <w:rPr>
                <w:b/>
                <w:bCs/>
                <w:lang w:val="en-US"/>
              </w:rPr>
            </w:pPr>
          </w:p>
        </w:tc>
      </w:tr>
      <w:tr w:rsidR="00F67065" w:rsidRPr="0093415C" w14:paraId="4A73D6C6" w14:textId="77777777" w:rsidTr="00E46848">
        <w:tc>
          <w:tcPr>
            <w:tcW w:w="9067" w:type="dxa"/>
          </w:tcPr>
          <w:p w14:paraId="242571A3" w14:textId="77777777" w:rsidR="00F67065" w:rsidRPr="009246FF" w:rsidRDefault="00F67065" w:rsidP="00424F6E">
            <w:pPr>
              <w:jc w:val="both"/>
              <w:rPr>
                <w:rFonts w:ascii="Arial" w:hAnsi="Arial" w:cs="Arial"/>
                <w:b/>
                <w:bCs/>
                <w:lang w:val="en-US"/>
              </w:rPr>
            </w:pPr>
          </w:p>
          <w:p w14:paraId="4B853E06" w14:textId="77777777" w:rsidR="00F67065" w:rsidRPr="009246FF" w:rsidRDefault="00F67065" w:rsidP="00424F6E">
            <w:pPr>
              <w:jc w:val="both"/>
              <w:rPr>
                <w:rFonts w:ascii="Arial" w:hAnsi="Arial" w:cs="Arial"/>
                <w:b/>
                <w:bCs/>
                <w:lang w:val="en-US"/>
              </w:rPr>
            </w:pPr>
            <w:r w:rsidRPr="009246FF">
              <w:rPr>
                <w:rFonts w:ascii="Arial" w:hAnsi="Arial" w:cs="Arial"/>
                <w:b/>
                <w:bCs/>
                <w:lang w:val="en-US"/>
              </w:rPr>
              <w:t>Step 1: Description of the project</w:t>
            </w:r>
          </w:p>
          <w:p w14:paraId="51A954C7" w14:textId="77777777" w:rsidR="00F67065" w:rsidRPr="009246FF" w:rsidRDefault="00F67065" w:rsidP="00424F6E">
            <w:pPr>
              <w:jc w:val="both"/>
              <w:rPr>
                <w:rFonts w:ascii="Arial" w:hAnsi="Arial" w:cs="Arial"/>
                <w:lang w:val="en-US"/>
              </w:rPr>
            </w:pPr>
          </w:p>
          <w:p w14:paraId="68264602" w14:textId="7FD7614B" w:rsidR="00F67065" w:rsidRPr="009246FF" w:rsidRDefault="00F67065" w:rsidP="005A786F">
            <w:pPr>
              <w:jc w:val="both"/>
              <w:rPr>
                <w:rFonts w:ascii="Arial" w:hAnsi="Arial" w:cs="Arial"/>
                <w:lang w:val="en-US"/>
              </w:rPr>
            </w:pPr>
            <w:r w:rsidRPr="009246FF">
              <w:rPr>
                <w:rFonts w:ascii="Arial" w:hAnsi="Arial" w:cs="Arial"/>
                <w:lang w:val="en-US"/>
              </w:rPr>
              <w:t xml:space="preserve">I have considered the </w:t>
            </w:r>
            <w:r w:rsidR="00424F6E" w:rsidRPr="009246FF">
              <w:rPr>
                <w:rFonts w:ascii="Arial" w:hAnsi="Arial" w:cs="Arial"/>
                <w:lang w:val="en-US"/>
              </w:rPr>
              <w:t xml:space="preserve">Proposed OCGT (350MW) plant fueled by Hydrotreated Vegetable Oil (HVO) </w:t>
            </w:r>
            <w:proofErr w:type="gramStart"/>
            <w:r w:rsidRPr="009246FF">
              <w:rPr>
                <w:rFonts w:ascii="Arial" w:hAnsi="Arial" w:cs="Arial"/>
                <w:lang w:val="en-US"/>
              </w:rPr>
              <w:t>in light of</w:t>
            </w:r>
            <w:proofErr w:type="gramEnd"/>
            <w:r w:rsidRPr="009246FF">
              <w:rPr>
                <w:rFonts w:ascii="Arial" w:hAnsi="Arial" w:cs="Arial"/>
                <w:lang w:val="en-US"/>
              </w:rPr>
              <w:t xml:space="preserve"> the requirements of S177U of the Planning and Development Act 2000 as amended.</w:t>
            </w:r>
          </w:p>
          <w:p w14:paraId="1F58B443" w14:textId="77777777" w:rsidR="00F67065" w:rsidRPr="009246FF" w:rsidRDefault="00F67065" w:rsidP="005A786F">
            <w:pPr>
              <w:jc w:val="both"/>
              <w:rPr>
                <w:rFonts w:ascii="Arial" w:hAnsi="Arial" w:cs="Arial"/>
                <w:lang w:val="en-US"/>
              </w:rPr>
            </w:pPr>
          </w:p>
          <w:p w14:paraId="0E68F37D" w14:textId="765533B7" w:rsidR="007250DF" w:rsidRPr="009246FF" w:rsidRDefault="00F67065" w:rsidP="005A786F">
            <w:pPr>
              <w:pStyle w:val="NoSpacing"/>
              <w:jc w:val="both"/>
              <w:rPr>
                <w:rFonts w:ascii="Arial" w:hAnsi="Arial" w:cs="Arial"/>
              </w:rPr>
            </w:pPr>
            <w:r w:rsidRPr="009246FF">
              <w:rPr>
                <w:rFonts w:ascii="Arial" w:hAnsi="Arial" w:cs="Arial"/>
                <w:lang w:val="en-US"/>
              </w:rPr>
              <w:t>The subject site is located</w:t>
            </w:r>
            <w:r w:rsidR="00424F6E" w:rsidRPr="009246FF">
              <w:rPr>
                <w:rFonts w:ascii="Arial" w:hAnsi="Arial" w:cs="Arial"/>
                <w:lang w:val="en-US"/>
              </w:rPr>
              <w:t xml:space="preserve"> within the existing established and operational SSE Tarbert site. The nearest European Sites include </w:t>
            </w:r>
            <w:r w:rsidR="00424F6E" w:rsidRPr="009246FF">
              <w:rPr>
                <w:rFonts w:ascii="Arial" w:hAnsi="Arial" w:cs="Arial"/>
              </w:rPr>
              <w:t>River Shannon and River Fergus Estuaries SPA [004077] and the Lower River Shannon SAC [002165] located immediately adjacent to the Site Boundary.  Stack's to Mullaghareirk Mountains, West Limerick Hills and Mount Eagle SPA [004161]is located 6.6km southeast.</w:t>
            </w:r>
            <w:r w:rsidR="00655B89" w:rsidRPr="009246FF">
              <w:rPr>
                <w:rFonts w:ascii="Arial" w:hAnsi="Arial" w:cs="Arial"/>
              </w:rPr>
              <w:t xml:space="preserve">  </w:t>
            </w:r>
            <w:r w:rsidR="009846D5" w:rsidRPr="009246FF">
              <w:rPr>
                <w:rFonts w:ascii="Arial" w:hAnsi="Arial" w:cs="Arial"/>
              </w:rPr>
              <w:t>Other European Sites which have also been considered include Moanveanlagh Bog SAC [002351]</w:t>
            </w:r>
            <w:r w:rsidR="001B6AD8" w:rsidRPr="009246FF">
              <w:rPr>
                <w:rFonts w:ascii="Arial" w:hAnsi="Arial" w:cs="Arial"/>
              </w:rPr>
              <w:t xml:space="preserve"> (</w:t>
            </w:r>
            <w:r w:rsidR="001B6AD8" w:rsidRPr="009246FF">
              <w:rPr>
                <w:rFonts w:ascii="Arial" w:hAnsi="Arial" w:cs="Arial"/>
                <w:lang w:val="en-US"/>
              </w:rPr>
              <w:t>13.9km south of the site)</w:t>
            </w:r>
            <w:r w:rsidR="001B6AD8" w:rsidRPr="009246FF">
              <w:rPr>
                <w:rFonts w:ascii="Arial" w:hAnsi="Arial" w:cs="Arial"/>
              </w:rPr>
              <w:t xml:space="preserve">, </w:t>
            </w:r>
            <w:r w:rsidR="00C12FC5" w:rsidRPr="009246FF">
              <w:rPr>
                <w:rFonts w:ascii="Arial" w:hAnsi="Arial" w:cs="Arial"/>
              </w:rPr>
              <w:t>Blasket Islands SAC [002172] (</w:t>
            </w:r>
            <w:r w:rsidR="00C12FC5" w:rsidRPr="009246FF">
              <w:rPr>
                <w:rFonts w:ascii="Arial" w:hAnsi="Arial" w:cs="Arial"/>
                <w:lang w:val="en-US"/>
              </w:rPr>
              <w:t xml:space="preserve">89km south-west, 95km hydrological connection), </w:t>
            </w:r>
            <w:r w:rsidR="00C12FC5" w:rsidRPr="009246FF">
              <w:rPr>
                <w:rFonts w:ascii="Arial" w:hAnsi="Arial" w:cs="Arial"/>
              </w:rPr>
              <w:t>Kilkieran Bay and Islands SAC [002111] (</w:t>
            </w:r>
            <w:r w:rsidR="00C12FC5" w:rsidRPr="009246FF">
              <w:rPr>
                <w:rFonts w:ascii="Arial" w:hAnsi="Arial" w:cs="Arial"/>
                <w:lang w:val="en-US"/>
              </w:rPr>
              <w:t>70km north, 117km hydrological connection)</w:t>
            </w:r>
            <w:r w:rsidR="007250DF" w:rsidRPr="009246FF">
              <w:rPr>
                <w:rFonts w:ascii="Arial" w:hAnsi="Arial" w:cs="Arial"/>
                <w:lang w:val="en-US"/>
              </w:rPr>
              <w:t xml:space="preserve">, </w:t>
            </w:r>
            <w:r w:rsidR="007250DF" w:rsidRPr="009246FF">
              <w:rPr>
                <w:rFonts w:ascii="Arial" w:hAnsi="Arial" w:cs="Arial"/>
              </w:rPr>
              <w:t>Slyne Head Islands SAC [000328]</w:t>
            </w:r>
            <w:r w:rsidR="005A786F" w:rsidRPr="009246FF">
              <w:rPr>
                <w:rFonts w:ascii="Arial" w:hAnsi="Arial" w:cs="Arial"/>
              </w:rPr>
              <w:t xml:space="preserve"> (106km north-west, 134km hydrological connection) </w:t>
            </w:r>
          </w:p>
          <w:p w14:paraId="3B983779" w14:textId="77777777" w:rsidR="00F67065" w:rsidRPr="009246FF" w:rsidRDefault="00F67065" w:rsidP="00424F6E">
            <w:pPr>
              <w:jc w:val="both"/>
              <w:rPr>
                <w:rFonts w:ascii="Arial" w:hAnsi="Arial" w:cs="Arial"/>
                <w:lang w:val="en-US"/>
              </w:rPr>
            </w:pPr>
          </w:p>
          <w:p w14:paraId="5994F033" w14:textId="1595F832" w:rsidR="00F67065" w:rsidRPr="009246FF" w:rsidRDefault="00F67065" w:rsidP="00424F6E">
            <w:pPr>
              <w:jc w:val="both"/>
              <w:rPr>
                <w:rFonts w:ascii="Arial" w:hAnsi="Arial" w:cs="Arial"/>
                <w:lang w:val="en-US"/>
              </w:rPr>
            </w:pPr>
            <w:r w:rsidRPr="009246FF">
              <w:rPr>
                <w:rFonts w:ascii="Arial" w:hAnsi="Arial" w:cs="Arial"/>
                <w:lang w:val="en-US"/>
              </w:rPr>
              <w:t xml:space="preserve">The proposed development comprises </w:t>
            </w:r>
            <w:r w:rsidR="00711991" w:rsidRPr="009246FF">
              <w:rPr>
                <w:rFonts w:ascii="Arial" w:hAnsi="Arial" w:cs="Arial"/>
              </w:rPr>
              <w:t>an OCGT (350MW) plant fuelled by Hydrotreated Vegetable Oil (HVO). The power output of the plant will be controlled and limited to a maximum of 350MW. The OCGT will be located within the existing established and operational SSE Tarbert site. The Proposed Development will include an overhead cable 75 m in length, which will connect to an existing electrical substation to the south of the proposed OCGT building. There will be no alterations to the electricity transmission system outside of the Site as part of the Proposed Development.</w:t>
            </w:r>
          </w:p>
          <w:p w14:paraId="0998746B" w14:textId="77777777" w:rsidR="00711991" w:rsidRPr="009246FF" w:rsidRDefault="00711991" w:rsidP="00711991">
            <w:pPr>
              <w:jc w:val="both"/>
              <w:rPr>
                <w:rFonts w:ascii="Arial" w:hAnsi="Arial" w:cs="Arial"/>
                <w:b/>
                <w:bCs/>
                <w:lang w:val="en-US"/>
              </w:rPr>
            </w:pPr>
          </w:p>
          <w:p w14:paraId="4ECDDBBE" w14:textId="5476EBD8" w:rsidR="00711991" w:rsidRPr="009246FF" w:rsidRDefault="00711991" w:rsidP="00711991">
            <w:pPr>
              <w:jc w:val="both"/>
              <w:rPr>
                <w:rFonts w:ascii="Arial" w:hAnsi="Arial" w:cs="Arial"/>
                <w:lang w:val="en-US"/>
              </w:rPr>
            </w:pPr>
            <w:r w:rsidRPr="009246FF">
              <w:rPr>
                <w:rFonts w:ascii="Arial" w:hAnsi="Arial" w:cs="Arial"/>
                <w:lang w:val="en-US"/>
              </w:rPr>
              <w:t>KCC Ecologists report noted no impact in relation to AA subject to mitigation measures being implemented as explained in Section 2.5 of this report.</w:t>
            </w:r>
          </w:p>
        </w:tc>
      </w:tr>
      <w:tr w:rsidR="00F67065" w:rsidRPr="0093415C" w14:paraId="7EDEBE20" w14:textId="77777777" w:rsidTr="00E46848">
        <w:tc>
          <w:tcPr>
            <w:tcW w:w="9067" w:type="dxa"/>
          </w:tcPr>
          <w:p w14:paraId="59034019" w14:textId="77777777" w:rsidR="00F67065" w:rsidRPr="009246FF" w:rsidRDefault="00F67065" w:rsidP="00424F6E">
            <w:pPr>
              <w:jc w:val="both"/>
              <w:rPr>
                <w:rFonts w:ascii="Arial" w:hAnsi="Arial" w:cs="Arial"/>
                <w:b/>
                <w:bCs/>
                <w:lang w:val="en-US"/>
              </w:rPr>
            </w:pPr>
          </w:p>
          <w:p w14:paraId="6CBED493" w14:textId="77777777" w:rsidR="00F67065" w:rsidRPr="009246FF" w:rsidRDefault="00F67065" w:rsidP="00424F6E">
            <w:pPr>
              <w:jc w:val="both"/>
              <w:rPr>
                <w:rFonts w:ascii="Arial" w:hAnsi="Arial" w:cs="Arial"/>
                <w:b/>
                <w:bCs/>
                <w:lang w:val="en-US"/>
              </w:rPr>
            </w:pPr>
            <w:r w:rsidRPr="009246FF">
              <w:rPr>
                <w:rFonts w:ascii="Arial" w:hAnsi="Arial" w:cs="Arial"/>
                <w:b/>
                <w:bCs/>
                <w:lang w:val="en-US"/>
              </w:rPr>
              <w:t>Step 2: Potential impact mechanisms from the project [consider direct, indirect, temporary/permanent impacts that could occur during construction, operation and, if relevant, decommissioning]</w:t>
            </w:r>
          </w:p>
          <w:p w14:paraId="773CCFBA" w14:textId="77777777" w:rsidR="00BC2BCA" w:rsidRPr="009246FF" w:rsidRDefault="00BC2BCA" w:rsidP="00E3337E">
            <w:pPr>
              <w:jc w:val="both"/>
              <w:rPr>
                <w:rFonts w:ascii="Arial" w:hAnsi="Arial" w:cs="Arial"/>
                <w:b/>
                <w:bCs/>
              </w:rPr>
            </w:pPr>
            <w:r w:rsidRPr="009246FF">
              <w:rPr>
                <w:rFonts w:ascii="Arial" w:hAnsi="Arial" w:cs="Arial"/>
                <w:b/>
                <w:bCs/>
              </w:rPr>
              <w:t>Construction</w:t>
            </w:r>
          </w:p>
          <w:p w14:paraId="6B391C29" w14:textId="47C92945" w:rsidR="00E3337E" w:rsidRPr="009246FF" w:rsidRDefault="00E3337E" w:rsidP="00C6208E">
            <w:pPr>
              <w:pStyle w:val="ListParagraph"/>
              <w:numPr>
                <w:ilvl w:val="0"/>
                <w:numId w:val="54"/>
              </w:numPr>
              <w:spacing w:after="0" w:line="240" w:lineRule="auto"/>
              <w:jc w:val="both"/>
              <w:rPr>
                <w:sz w:val="22"/>
                <w:szCs w:val="22"/>
              </w:rPr>
            </w:pPr>
            <w:r w:rsidRPr="009246FF">
              <w:rPr>
                <w:b/>
                <w:bCs/>
                <w:sz w:val="22"/>
                <w:szCs w:val="22"/>
              </w:rPr>
              <w:t>Noise and visual disturbance</w:t>
            </w:r>
            <w:r w:rsidR="00A33DA7" w:rsidRPr="009246FF">
              <w:rPr>
                <w:b/>
                <w:bCs/>
                <w:sz w:val="22"/>
                <w:szCs w:val="22"/>
              </w:rPr>
              <w:t xml:space="preserve"> to birds</w:t>
            </w:r>
            <w:r w:rsidR="007C1C70" w:rsidRPr="009246FF">
              <w:rPr>
                <w:b/>
                <w:bCs/>
                <w:sz w:val="22"/>
                <w:szCs w:val="22"/>
              </w:rPr>
              <w:t xml:space="preserve"> </w:t>
            </w:r>
            <w:r w:rsidR="00BE71D4" w:rsidRPr="009246FF">
              <w:rPr>
                <w:b/>
                <w:bCs/>
                <w:sz w:val="22"/>
                <w:szCs w:val="22"/>
              </w:rPr>
              <w:t>–</w:t>
            </w:r>
            <w:r w:rsidRPr="009246FF">
              <w:rPr>
                <w:sz w:val="22"/>
                <w:szCs w:val="22"/>
              </w:rPr>
              <w:t xml:space="preserve"> </w:t>
            </w:r>
            <w:r w:rsidR="00BE71D4" w:rsidRPr="009246FF">
              <w:rPr>
                <w:sz w:val="22"/>
                <w:szCs w:val="22"/>
              </w:rPr>
              <w:t>Disturbance a</w:t>
            </w:r>
            <w:r w:rsidRPr="009246FF">
              <w:rPr>
                <w:sz w:val="22"/>
                <w:szCs w:val="22"/>
              </w:rPr>
              <w:t xml:space="preserve">rising from the presence of personnel, plant and machinery, noise generated by demolition and construction works, including piling, may disturb birds using habitats surrounding the Site. Any lighting used during the construction phase could also cause disturbance of SCI birds when foraging or roosting. </w:t>
            </w:r>
          </w:p>
          <w:p w14:paraId="316781D6" w14:textId="39E4A253" w:rsidR="00143A6E" w:rsidRPr="009246FF" w:rsidRDefault="00BE71D4" w:rsidP="00C6208E">
            <w:pPr>
              <w:pStyle w:val="ListParagraph"/>
              <w:numPr>
                <w:ilvl w:val="0"/>
                <w:numId w:val="54"/>
              </w:numPr>
              <w:spacing w:after="0" w:line="240" w:lineRule="auto"/>
              <w:jc w:val="both"/>
              <w:rPr>
                <w:sz w:val="22"/>
                <w:szCs w:val="22"/>
                <w:lang w:val="en-US"/>
              </w:rPr>
            </w:pPr>
            <w:r w:rsidRPr="009246FF">
              <w:rPr>
                <w:b/>
                <w:bCs/>
                <w:sz w:val="22"/>
                <w:szCs w:val="22"/>
                <w:lang w:val="en-US"/>
              </w:rPr>
              <w:t xml:space="preserve">Contaminated </w:t>
            </w:r>
            <w:r w:rsidR="00143A6E" w:rsidRPr="009246FF">
              <w:rPr>
                <w:b/>
                <w:bCs/>
                <w:sz w:val="22"/>
                <w:szCs w:val="22"/>
                <w:lang w:val="en-US"/>
              </w:rPr>
              <w:t xml:space="preserve">Surface </w:t>
            </w:r>
            <w:r w:rsidR="00143A6E" w:rsidRPr="009246FF">
              <w:rPr>
                <w:b/>
                <w:bCs/>
                <w:sz w:val="22"/>
                <w:szCs w:val="22"/>
              </w:rPr>
              <w:t>water runoff</w:t>
            </w:r>
            <w:r w:rsidR="00143A6E" w:rsidRPr="009246FF">
              <w:rPr>
                <w:sz w:val="22"/>
                <w:szCs w:val="22"/>
              </w:rPr>
              <w:t xml:space="preserve"> </w:t>
            </w:r>
            <w:r w:rsidR="0026153E" w:rsidRPr="009246FF">
              <w:rPr>
                <w:sz w:val="22"/>
                <w:szCs w:val="22"/>
              </w:rPr>
              <w:t xml:space="preserve">– Impact </w:t>
            </w:r>
            <w:r w:rsidR="00143A6E" w:rsidRPr="009246FF">
              <w:rPr>
                <w:sz w:val="22"/>
                <w:szCs w:val="22"/>
              </w:rPr>
              <w:t>of contaminated water into intertidal or estuarine habitats during construction.</w:t>
            </w:r>
          </w:p>
          <w:p w14:paraId="7C3F3714" w14:textId="7E444321" w:rsidR="004871E0" w:rsidRPr="009246FF" w:rsidRDefault="004871E0" w:rsidP="00C6208E">
            <w:pPr>
              <w:pStyle w:val="ListParagraph"/>
              <w:numPr>
                <w:ilvl w:val="0"/>
                <w:numId w:val="54"/>
              </w:numPr>
              <w:spacing w:after="0" w:line="240" w:lineRule="auto"/>
              <w:jc w:val="both"/>
              <w:rPr>
                <w:sz w:val="22"/>
                <w:szCs w:val="22"/>
                <w:lang w:val="en-US"/>
              </w:rPr>
            </w:pPr>
            <w:r w:rsidRPr="009246FF">
              <w:rPr>
                <w:b/>
                <w:bCs/>
                <w:sz w:val="22"/>
                <w:szCs w:val="22"/>
                <w:lang w:val="en-US"/>
              </w:rPr>
              <w:t xml:space="preserve">Noise/Vibration </w:t>
            </w:r>
            <w:r w:rsidR="0026153E" w:rsidRPr="009246FF">
              <w:rPr>
                <w:b/>
                <w:bCs/>
                <w:sz w:val="22"/>
                <w:szCs w:val="22"/>
                <w:lang w:val="en-US"/>
              </w:rPr>
              <w:t>disturbance</w:t>
            </w:r>
            <w:r w:rsidRPr="009246FF">
              <w:rPr>
                <w:b/>
                <w:bCs/>
                <w:sz w:val="22"/>
                <w:szCs w:val="22"/>
                <w:lang w:val="en-US"/>
              </w:rPr>
              <w:t xml:space="preserve"> to Marine Life – </w:t>
            </w:r>
            <w:r w:rsidRPr="009246FF">
              <w:rPr>
                <w:sz w:val="22"/>
                <w:szCs w:val="22"/>
              </w:rPr>
              <w:t xml:space="preserve">Due to the location of dolphin habitat within the SAC, piling works may be a cause of disturbance, but </w:t>
            </w:r>
            <w:proofErr w:type="spellStart"/>
            <w:r w:rsidRPr="009246FF">
              <w:rPr>
                <w:sz w:val="22"/>
                <w:szCs w:val="22"/>
              </w:rPr>
              <w:t>its</w:t>
            </w:r>
            <w:proofErr w:type="spellEnd"/>
            <w:r w:rsidRPr="009246FF">
              <w:rPr>
                <w:sz w:val="22"/>
                <w:szCs w:val="22"/>
              </w:rPr>
              <w:t xml:space="preserve"> not expected to be significant.  Likewise, there is potential for noise / vibration to effect salmon and lamprey species which may spawn in and migrate up the estuary. Such impacts could lead to the displacement of QI species away from areas which would otherwise be suitable for foraging or commuting.</w:t>
            </w:r>
          </w:p>
          <w:p w14:paraId="5398B128" w14:textId="52153275" w:rsidR="007A7913" w:rsidRPr="009246FF" w:rsidRDefault="007A7913" w:rsidP="007A7913">
            <w:pPr>
              <w:jc w:val="both"/>
              <w:rPr>
                <w:rFonts w:ascii="Arial" w:hAnsi="Arial" w:cs="Arial"/>
                <w:b/>
                <w:bCs/>
                <w:lang w:val="en-US"/>
              </w:rPr>
            </w:pPr>
            <w:r w:rsidRPr="009246FF">
              <w:rPr>
                <w:rFonts w:ascii="Arial" w:hAnsi="Arial" w:cs="Arial"/>
                <w:b/>
                <w:bCs/>
                <w:lang w:val="en-US"/>
              </w:rPr>
              <w:t>Operation</w:t>
            </w:r>
          </w:p>
          <w:p w14:paraId="00EDEC64" w14:textId="77777777" w:rsidR="00E3337E" w:rsidRPr="009246FF" w:rsidRDefault="00F348FD" w:rsidP="00C6208E">
            <w:pPr>
              <w:pStyle w:val="ListParagraph"/>
              <w:numPr>
                <w:ilvl w:val="0"/>
                <w:numId w:val="55"/>
              </w:numPr>
              <w:spacing w:after="0" w:line="240" w:lineRule="auto"/>
              <w:jc w:val="both"/>
              <w:rPr>
                <w:sz w:val="22"/>
                <w:szCs w:val="22"/>
                <w:lang w:val="en-US"/>
              </w:rPr>
            </w:pPr>
            <w:r w:rsidRPr="009246FF">
              <w:rPr>
                <w:b/>
                <w:bCs/>
                <w:sz w:val="22"/>
                <w:szCs w:val="22"/>
              </w:rPr>
              <w:t>Accidental Spillages</w:t>
            </w:r>
            <w:r w:rsidRPr="009246FF">
              <w:rPr>
                <w:sz w:val="22"/>
                <w:szCs w:val="22"/>
              </w:rPr>
              <w:t xml:space="preserve"> - </w:t>
            </w:r>
            <w:r w:rsidR="002C6EF7" w:rsidRPr="009246FF">
              <w:rPr>
                <w:sz w:val="22"/>
                <w:szCs w:val="22"/>
              </w:rPr>
              <w:t xml:space="preserve">The Proposed Development will run on HVO fuel which will be delivered by lorry. When transferring this fuel into the storage tanks there is </w:t>
            </w:r>
            <w:r w:rsidR="002C6EF7" w:rsidRPr="009246FF">
              <w:rPr>
                <w:sz w:val="22"/>
                <w:szCs w:val="22"/>
              </w:rPr>
              <w:lastRenderedPageBreak/>
              <w:t>potential for spills to occur, however in line with industry standards, the tank area will have an impermeable base and will be bunded, with a capacity at least 110% of the total volume of a fuel delivery lorry.</w:t>
            </w:r>
          </w:p>
          <w:p w14:paraId="6288040F" w14:textId="76C25DB3" w:rsidR="000C1335" w:rsidRPr="009246FF" w:rsidRDefault="00B15068" w:rsidP="00C6208E">
            <w:pPr>
              <w:pStyle w:val="ListParagraph"/>
              <w:numPr>
                <w:ilvl w:val="0"/>
                <w:numId w:val="55"/>
              </w:numPr>
              <w:spacing w:after="0" w:line="240" w:lineRule="auto"/>
              <w:jc w:val="both"/>
              <w:rPr>
                <w:sz w:val="22"/>
                <w:szCs w:val="22"/>
                <w:lang w:val="en-US"/>
              </w:rPr>
            </w:pPr>
            <w:r w:rsidRPr="009246FF">
              <w:rPr>
                <w:b/>
                <w:bCs/>
                <w:sz w:val="22"/>
                <w:szCs w:val="22"/>
              </w:rPr>
              <w:t>Surface Water Discharges</w:t>
            </w:r>
            <w:r w:rsidRPr="009246FF">
              <w:rPr>
                <w:sz w:val="22"/>
                <w:szCs w:val="22"/>
              </w:rPr>
              <w:t xml:space="preserve"> - </w:t>
            </w:r>
            <w:r w:rsidR="000C1335" w:rsidRPr="009246FF">
              <w:rPr>
                <w:sz w:val="22"/>
                <w:szCs w:val="22"/>
              </w:rPr>
              <w:t>There will be minor discharge of uncontaminated water to the Shannon Estuary during operation as part of the demineralisation process, as per existing limits, and there will also be emissions from surface water run-off and foul water following wastewater treatment.</w:t>
            </w:r>
          </w:p>
          <w:p w14:paraId="73682EF7" w14:textId="4FFC1103" w:rsidR="006D47B5" w:rsidRPr="009246FF" w:rsidRDefault="006D47B5" w:rsidP="004871E0">
            <w:pPr>
              <w:jc w:val="both"/>
              <w:rPr>
                <w:rFonts w:ascii="Arial" w:hAnsi="Arial" w:cs="Arial"/>
                <w:b/>
                <w:bCs/>
                <w:u w:val="single"/>
                <w:lang w:val="en-US"/>
              </w:rPr>
            </w:pPr>
          </w:p>
        </w:tc>
      </w:tr>
      <w:tr w:rsidR="00F67065" w:rsidRPr="00143A6E" w14:paraId="452C4947" w14:textId="77777777" w:rsidTr="00E46848">
        <w:tc>
          <w:tcPr>
            <w:tcW w:w="9067" w:type="dxa"/>
          </w:tcPr>
          <w:p w14:paraId="4230D054" w14:textId="77777777" w:rsidR="00F67065" w:rsidRPr="009246FF" w:rsidRDefault="00F67065" w:rsidP="00424F6E">
            <w:pPr>
              <w:jc w:val="both"/>
              <w:rPr>
                <w:rFonts w:ascii="Arial" w:hAnsi="Arial" w:cs="Arial"/>
                <w:b/>
                <w:bCs/>
                <w:lang w:val="en-US"/>
              </w:rPr>
            </w:pPr>
          </w:p>
          <w:p w14:paraId="65B50659" w14:textId="77777777" w:rsidR="00F67065" w:rsidRPr="009246FF" w:rsidRDefault="00F67065" w:rsidP="00424F6E">
            <w:pPr>
              <w:jc w:val="both"/>
              <w:rPr>
                <w:rFonts w:ascii="Arial" w:hAnsi="Arial" w:cs="Arial"/>
                <w:b/>
                <w:bCs/>
                <w:lang w:val="en-US"/>
              </w:rPr>
            </w:pPr>
            <w:r w:rsidRPr="009246FF">
              <w:rPr>
                <w:rFonts w:ascii="Arial" w:hAnsi="Arial" w:cs="Arial"/>
                <w:b/>
                <w:bCs/>
                <w:lang w:val="en-US"/>
              </w:rPr>
              <w:t>Step 3: European Sites at risk</w:t>
            </w:r>
          </w:p>
          <w:p w14:paraId="6CC16A62" w14:textId="77777777" w:rsidR="00F67065" w:rsidRPr="009246FF" w:rsidRDefault="00F67065" w:rsidP="00424F6E">
            <w:pPr>
              <w:jc w:val="both"/>
              <w:rPr>
                <w:rFonts w:ascii="Arial" w:hAnsi="Arial" w:cs="Arial"/>
                <w:b/>
                <w:bCs/>
                <w:lang w:val="en-US"/>
              </w:rPr>
            </w:pPr>
          </w:p>
          <w:p w14:paraId="531B1A93" w14:textId="77777777" w:rsidR="00F67065" w:rsidRPr="009246FF" w:rsidRDefault="00F67065" w:rsidP="00424F6E">
            <w:pPr>
              <w:jc w:val="both"/>
              <w:rPr>
                <w:rFonts w:ascii="Arial" w:hAnsi="Arial" w:cs="Arial"/>
                <w:lang w:val="en-US"/>
              </w:rPr>
            </w:pPr>
            <w:r w:rsidRPr="009246FF">
              <w:rPr>
                <w:rFonts w:ascii="Arial" w:hAnsi="Arial" w:cs="Arial"/>
                <w:lang w:val="en-US"/>
              </w:rPr>
              <w:t xml:space="preserve">With reference to the potential impact mechanisms from the proposal, identify the European site(s) and qualifying features potentially at risk.  Examine Site specific conservation objectives and relevant and supporting documents. </w:t>
            </w:r>
          </w:p>
          <w:p w14:paraId="51D765AC" w14:textId="77777777" w:rsidR="00F67065" w:rsidRPr="009246FF" w:rsidRDefault="00F67065" w:rsidP="00424F6E">
            <w:pPr>
              <w:jc w:val="both"/>
              <w:rPr>
                <w:rFonts w:ascii="Arial" w:hAnsi="Arial" w:cs="Arial"/>
                <w:lang w:val="en-US"/>
              </w:rPr>
            </w:pPr>
          </w:p>
          <w:tbl>
            <w:tblPr>
              <w:tblStyle w:val="TableGrid"/>
              <w:tblW w:w="0" w:type="auto"/>
              <w:tblLook w:val="04A0" w:firstRow="1" w:lastRow="0" w:firstColumn="1" w:lastColumn="0" w:noHBand="0" w:noVBand="1"/>
            </w:tblPr>
            <w:tblGrid>
              <w:gridCol w:w="1586"/>
              <w:gridCol w:w="2191"/>
              <w:gridCol w:w="5064"/>
            </w:tblGrid>
            <w:tr w:rsidR="00F67065" w:rsidRPr="009246FF" w14:paraId="57D95DB1" w14:textId="77777777" w:rsidTr="00E46848">
              <w:tc>
                <w:tcPr>
                  <w:tcW w:w="8841" w:type="dxa"/>
                  <w:gridSpan w:val="3"/>
                  <w:shd w:val="clear" w:color="auto" w:fill="EDEDED" w:themeFill="accent3" w:themeFillTint="33"/>
                </w:tcPr>
                <w:p w14:paraId="4F646361" w14:textId="6443176D" w:rsidR="00F67065" w:rsidRPr="009246FF" w:rsidRDefault="00F67065" w:rsidP="00424F6E">
                  <w:pPr>
                    <w:jc w:val="both"/>
                    <w:rPr>
                      <w:rFonts w:ascii="Arial" w:hAnsi="Arial" w:cs="Arial"/>
                      <w:b/>
                      <w:bCs/>
                      <w:lang w:val="en-US"/>
                    </w:rPr>
                  </w:pPr>
                  <w:r w:rsidRPr="009246FF">
                    <w:rPr>
                      <w:rFonts w:ascii="Arial" w:hAnsi="Arial" w:cs="Arial"/>
                      <w:b/>
                      <w:bCs/>
                      <w:lang w:val="en-US"/>
                    </w:rPr>
                    <w:t xml:space="preserve">Table 1 European Sites at risk from impacts of the proposed project </w:t>
                  </w:r>
                </w:p>
                <w:p w14:paraId="59456FA8" w14:textId="77777777" w:rsidR="00F67065" w:rsidRPr="009246FF" w:rsidRDefault="00F67065" w:rsidP="00424F6E">
                  <w:pPr>
                    <w:jc w:val="both"/>
                    <w:rPr>
                      <w:rFonts w:ascii="Arial" w:hAnsi="Arial" w:cs="Arial"/>
                      <w:b/>
                      <w:bCs/>
                      <w:lang w:val="en-US"/>
                    </w:rPr>
                  </w:pPr>
                </w:p>
              </w:tc>
            </w:tr>
            <w:tr w:rsidR="00EA6FB4" w:rsidRPr="009246FF" w14:paraId="7EFE1195" w14:textId="77777777" w:rsidTr="00E46848">
              <w:tc>
                <w:tcPr>
                  <w:tcW w:w="8841" w:type="dxa"/>
                  <w:gridSpan w:val="3"/>
                  <w:shd w:val="clear" w:color="auto" w:fill="EDEDED" w:themeFill="accent3" w:themeFillTint="33"/>
                </w:tcPr>
                <w:p w14:paraId="3926C651" w14:textId="77777777" w:rsidR="00EA6FB4" w:rsidRPr="009246FF" w:rsidRDefault="00EA6FB4" w:rsidP="00EA6FB4">
                  <w:pPr>
                    <w:pStyle w:val="NoSpacing"/>
                    <w:rPr>
                      <w:rFonts w:ascii="Arial" w:hAnsi="Arial" w:cs="Arial"/>
                      <w:b/>
                      <w:bCs/>
                    </w:rPr>
                  </w:pPr>
                  <w:r w:rsidRPr="009246FF">
                    <w:rPr>
                      <w:rFonts w:ascii="Arial" w:hAnsi="Arial" w:cs="Arial"/>
                      <w:b/>
                      <w:bCs/>
                    </w:rPr>
                    <w:t>Conservation objectives:</w:t>
                  </w:r>
                </w:p>
                <w:p w14:paraId="1F92D550" w14:textId="77777777" w:rsidR="00EA6FB4" w:rsidRPr="009246FF" w:rsidRDefault="00EA6FB4" w:rsidP="00EA6FB4">
                  <w:pPr>
                    <w:pStyle w:val="NoSpacing"/>
                    <w:jc w:val="both"/>
                    <w:rPr>
                      <w:rFonts w:ascii="Arial" w:hAnsi="Arial" w:cs="Arial"/>
                    </w:rPr>
                  </w:pPr>
                  <w:r w:rsidRPr="009246FF">
                    <w:rPr>
                      <w:rFonts w:ascii="Arial" w:hAnsi="Arial" w:cs="Arial"/>
                    </w:rPr>
                    <w:t xml:space="preserve">To maintain favourable conservation condition </w:t>
                  </w:r>
                  <w:r w:rsidRPr="009246FF">
                    <w:rPr>
                      <w:rFonts w:ascii="Arial" w:hAnsi="Arial" w:cs="Arial"/>
                      <w:b/>
                      <w:bCs/>
                    </w:rPr>
                    <w:t xml:space="preserve">M </w:t>
                  </w:r>
                </w:p>
                <w:p w14:paraId="344610C4" w14:textId="1CA39176" w:rsidR="00EA6FB4" w:rsidRPr="009246FF" w:rsidRDefault="00EA6FB4" w:rsidP="00424F6E">
                  <w:pPr>
                    <w:jc w:val="both"/>
                    <w:rPr>
                      <w:rFonts w:ascii="Arial" w:hAnsi="Arial" w:cs="Arial"/>
                      <w:b/>
                      <w:bCs/>
                    </w:rPr>
                  </w:pPr>
                  <w:r w:rsidRPr="009246FF">
                    <w:rPr>
                      <w:rFonts w:ascii="Arial" w:hAnsi="Arial" w:cs="Arial"/>
                    </w:rPr>
                    <w:t xml:space="preserve">To restore favourable conservation condition </w:t>
                  </w:r>
                  <w:r w:rsidRPr="009246FF">
                    <w:rPr>
                      <w:rFonts w:ascii="Arial" w:hAnsi="Arial" w:cs="Arial"/>
                      <w:b/>
                      <w:bCs/>
                    </w:rPr>
                    <w:t>R</w:t>
                  </w:r>
                </w:p>
              </w:tc>
            </w:tr>
            <w:tr w:rsidR="00FC4C21" w:rsidRPr="009246FF" w14:paraId="5E17C07A" w14:textId="77777777" w:rsidTr="00467300">
              <w:tc>
                <w:tcPr>
                  <w:tcW w:w="8841" w:type="dxa"/>
                  <w:gridSpan w:val="3"/>
                  <w:shd w:val="clear" w:color="auto" w:fill="D9D9D9" w:themeFill="background1" w:themeFillShade="D9"/>
                </w:tcPr>
                <w:p w14:paraId="5D1D9D5B" w14:textId="60E8D4BE" w:rsidR="00FC4C21" w:rsidRPr="009246FF" w:rsidRDefault="00FC4C21" w:rsidP="00FC4C21">
                  <w:pPr>
                    <w:pStyle w:val="NoSpacing"/>
                    <w:rPr>
                      <w:rFonts w:ascii="Arial" w:hAnsi="Arial" w:cs="Arial"/>
                      <w:b/>
                      <w:bCs/>
                    </w:rPr>
                  </w:pPr>
                  <w:r w:rsidRPr="009246FF">
                    <w:rPr>
                      <w:rFonts w:ascii="Arial" w:hAnsi="Arial" w:cs="Arial"/>
                      <w:b/>
                      <w:bCs/>
                    </w:rPr>
                    <w:t>River Shannon and River Fergus Estuaries SPA (004077) – Located Directly Adjacent to Site</w:t>
                  </w:r>
                </w:p>
                <w:p w14:paraId="542A8D3D" w14:textId="77777777" w:rsidR="00FC4C21" w:rsidRPr="009246FF" w:rsidRDefault="00000000" w:rsidP="00FC4C21">
                  <w:pPr>
                    <w:pStyle w:val="NoSpacing"/>
                    <w:rPr>
                      <w:rStyle w:val="Hyperlink"/>
                      <w:rFonts w:ascii="Arial" w:hAnsi="Arial" w:cs="Arial"/>
                    </w:rPr>
                  </w:pPr>
                  <w:hyperlink r:id="rId13" w:history="1">
                    <w:r w:rsidR="00FC4C21" w:rsidRPr="009246FF">
                      <w:rPr>
                        <w:rStyle w:val="Hyperlink"/>
                        <w:rFonts w:ascii="Arial" w:hAnsi="Arial" w:cs="Arial"/>
                      </w:rPr>
                      <w:t>River Shannon and River Fergus Estuaries SPA | National Parks &amp; Wildlife Service (npws.ie)</w:t>
                    </w:r>
                  </w:hyperlink>
                </w:p>
                <w:p w14:paraId="2614173B" w14:textId="530D5F35" w:rsidR="0064785E" w:rsidRPr="009246FF" w:rsidRDefault="0064785E" w:rsidP="00FC4C21">
                  <w:pPr>
                    <w:pStyle w:val="NoSpacing"/>
                    <w:rPr>
                      <w:rFonts w:ascii="Arial" w:hAnsi="Arial" w:cs="Arial"/>
                      <w:b/>
                      <w:bCs/>
                    </w:rPr>
                  </w:pPr>
                  <w:r w:rsidRPr="009246FF">
                    <w:rPr>
                      <w:rFonts w:ascii="Arial" w:hAnsi="Arial" w:cs="Arial"/>
                    </w:rPr>
                    <w:t>The Site is surrounded by the SPA, and the northern and eastern boundaries of the Site are contiguous with River Shannon and River Fergus Estuaries SPA. The SPA is designated for 21 bird species, and wetland habitats which support these species.</w:t>
                  </w:r>
                </w:p>
                <w:p w14:paraId="32C8D81E" w14:textId="77777777" w:rsidR="00EA6B3C" w:rsidRPr="009246FF" w:rsidRDefault="00EA6B3C" w:rsidP="00342FE9">
                  <w:pPr>
                    <w:jc w:val="both"/>
                    <w:rPr>
                      <w:rFonts w:ascii="Arial" w:hAnsi="Arial" w:cs="Arial"/>
                      <w:b/>
                      <w:bCs/>
                      <w:lang w:val="en-US"/>
                    </w:rPr>
                  </w:pPr>
                </w:p>
              </w:tc>
            </w:tr>
            <w:tr w:rsidR="00862ED3" w:rsidRPr="009246FF" w14:paraId="708540AE" w14:textId="77777777" w:rsidTr="008C7939">
              <w:tc>
                <w:tcPr>
                  <w:tcW w:w="1020" w:type="dxa"/>
                </w:tcPr>
                <w:p w14:paraId="48EC2B16" w14:textId="77777777" w:rsidR="00FC4C21" w:rsidRPr="009246FF" w:rsidRDefault="00FC4C21" w:rsidP="00FC4C21">
                  <w:pPr>
                    <w:jc w:val="both"/>
                    <w:rPr>
                      <w:rFonts w:ascii="Arial" w:hAnsi="Arial" w:cs="Arial"/>
                      <w:b/>
                      <w:bCs/>
                      <w:lang w:val="en-US"/>
                    </w:rPr>
                  </w:pPr>
                  <w:r w:rsidRPr="009246FF">
                    <w:rPr>
                      <w:rFonts w:ascii="Arial" w:hAnsi="Arial" w:cs="Arial"/>
                      <w:b/>
                      <w:bCs/>
                      <w:lang w:val="en-US"/>
                    </w:rPr>
                    <w:t>Effect mechanism</w:t>
                  </w:r>
                </w:p>
              </w:tc>
              <w:tc>
                <w:tcPr>
                  <w:tcW w:w="2268" w:type="dxa"/>
                </w:tcPr>
                <w:p w14:paraId="273DD864" w14:textId="77777777" w:rsidR="00FC4C21" w:rsidRPr="009246FF" w:rsidRDefault="00FC4C21" w:rsidP="00FC4C21">
                  <w:pPr>
                    <w:jc w:val="both"/>
                    <w:rPr>
                      <w:rFonts w:ascii="Arial" w:hAnsi="Arial" w:cs="Arial"/>
                      <w:b/>
                      <w:bCs/>
                      <w:lang w:val="en-US"/>
                    </w:rPr>
                  </w:pPr>
                  <w:r w:rsidRPr="009246FF">
                    <w:rPr>
                      <w:rFonts w:ascii="Arial" w:hAnsi="Arial" w:cs="Arial"/>
                      <w:b/>
                      <w:bCs/>
                      <w:lang w:val="en-US"/>
                    </w:rPr>
                    <w:t xml:space="preserve">Impact pathway/Zone of influence </w:t>
                  </w:r>
                </w:p>
              </w:tc>
              <w:tc>
                <w:tcPr>
                  <w:tcW w:w="5553" w:type="dxa"/>
                </w:tcPr>
                <w:p w14:paraId="315A4E94" w14:textId="77777777" w:rsidR="00FC4C21" w:rsidRPr="009246FF" w:rsidRDefault="00FC4C21" w:rsidP="00FC4C21">
                  <w:pPr>
                    <w:jc w:val="both"/>
                    <w:rPr>
                      <w:rFonts w:ascii="Arial" w:hAnsi="Arial" w:cs="Arial"/>
                      <w:b/>
                      <w:bCs/>
                      <w:lang w:val="en-US"/>
                    </w:rPr>
                  </w:pPr>
                  <w:r w:rsidRPr="009246FF">
                    <w:rPr>
                      <w:rFonts w:ascii="Arial" w:hAnsi="Arial" w:cs="Arial"/>
                      <w:b/>
                      <w:bCs/>
                      <w:lang w:val="en-US"/>
                    </w:rPr>
                    <w:t>Qualifying interest features at risk</w:t>
                  </w:r>
                </w:p>
              </w:tc>
            </w:tr>
            <w:tr w:rsidR="00862ED3" w:rsidRPr="009246FF" w14:paraId="49BA8F9D" w14:textId="77777777" w:rsidTr="008C7939">
              <w:tc>
                <w:tcPr>
                  <w:tcW w:w="1020" w:type="dxa"/>
                </w:tcPr>
                <w:p w14:paraId="57B7D710" w14:textId="2E277C12" w:rsidR="00FC4C21" w:rsidRPr="009246FF" w:rsidRDefault="001C2897" w:rsidP="00FC4C21">
                  <w:pPr>
                    <w:jc w:val="both"/>
                    <w:rPr>
                      <w:rFonts w:ascii="Arial" w:hAnsi="Arial" w:cs="Arial"/>
                    </w:rPr>
                  </w:pPr>
                  <w:r w:rsidRPr="009246FF">
                    <w:rPr>
                      <w:rFonts w:ascii="Arial" w:hAnsi="Arial" w:cs="Arial"/>
                    </w:rPr>
                    <w:t xml:space="preserve">A. </w:t>
                  </w:r>
                  <w:r w:rsidR="00A05110" w:rsidRPr="009246FF">
                    <w:rPr>
                      <w:rFonts w:ascii="Arial" w:hAnsi="Arial" w:cs="Arial"/>
                    </w:rPr>
                    <w:t>Noise and visual</w:t>
                  </w:r>
                  <w:r w:rsidR="00611757" w:rsidRPr="009246FF">
                    <w:rPr>
                      <w:rFonts w:ascii="Arial" w:hAnsi="Arial" w:cs="Arial"/>
                    </w:rPr>
                    <w:t>/</w:t>
                  </w:r>
                  <w:proofErr w:type="gramStart"/>
                  <w:r w:rsidR="00611757" w:rsidRPr="009246FF">
                    <w:rPr>
                      <w:rFonts w:ascii="Arial" w:hAnsi="Arial" w:cs="Arial"/>
                    </w:rPr>
                    <w:t xml:space="preserve">lighting </w:t>
                  </w:r>
                  <w:r w:rsidR="00A05110" w:rsidRPr="009246FF">
                    <w:rPr>
                      <w:rFonts w:ascii="Arial" w:hAnsi="Arial" w:cs="Arial"/>
                    </w:rPr>
                    <w:t xml:space="preserve"> disturbance</w:t>
                  </w:r>
                  <w:proofErr w:type="gramEnd"/>
                  <w:r w:rsidR="00A57C8E" w:rsidRPr="009246FF">
                    <w:rPr>
                      <w:rFonts w:ascii="Arial" w:hAnsi="Arial" w:cs="Arial"/>
                    </w:rPr>
                    <w:t xml:space="preserve"> to birds from construction phase works</w:t>
                  </w:r>
                </w:p>
                <w:p w14:paraId="1318E03C" w14:textId="77777777" w:rsidR="00B305C9" w:rsidRPr="009246FF" w:rsidRDefault="00B305C9" w:rsidP="00FC4C21">
                  <w:pPr>
                    <w:jc w:val="both"/>
                    <w:rPr>
                      <w:rFonts w:ascii="Arial" w:hAnsi="Arial" w:cs="Arial"/>
                      <w:lang w:val="en-US"/>
                    </w:rPr>
                  </w:pPr>
                </w:p>
                <w:p w14:paraId="25727673" w14:textId="6B427A44" w:rsidR="00B305C9" w:rsidRPr="009246FF" w:rsidRDefault="00E411AC" w:rsidP="00FC4C21">
                  <w:pPr>
                    <w:jc w:val="both"/>
                    <w:rPr>
                      <w:rFonts w:ascii="Arial" w:hAnsi="Arial" w:cs="Arial"/>
                      <w:lang w:val="en-US"/>
                    </w:rPr>
                  </w:pPr>
                  <w:r w:rsidRPr="009246FF">
                    <w:rPr>
                      <w:rFonts w:ascii="Arial" w:hAnsi="Arial" w:cs="Arial"/>
                      <w:lang w:val="en-US"/>
                    </w:rPr>
                    <w:t>B</w:t>
                  </w:r>
                  <w:r w:rsidR="00B305C9" w:rsidRPr="009246FF">
                    <w:rPr>
                      <w:rFonts w:ascii="Arial" w:hAnsi="Arial" w:cs="Arial"/>
                      <w:lang w:val="en-US"/>
                    </w:rPr>
                    <w:t xml:space="preserve">.  Contaminated </w:t>
                  </w:r>
                  <w:r w:rsidR="00CD7DFC" w:rsidRPr="009246FF">
                    <w:rPr>
                      <w:rFonts w:ascii="Arial" w:hAnsi="Arial" w:cs="Arial"/>
                      <w:lang w:val="en-US"/>
                    </w:rPr>
                    <w:t>s</w:t>
                  </w:r>
                  <w:r w:rsidR="00B305C9" w:rsidRPr="009246FF">
                    <w:rPr>
                      <w:rFonts w:ascii="Arial" w:hAnsi="Arial" w:cs="Arial"/>
                      <w:lang w:val="en-US"/>
                    </w:rPr>
                    <w:t xml:space="preserve">urface </w:t>
                  </w:r>
                  <w:r w:rsidR="00CD7DFC" w:rsidRPr="009246FF">
                    <w:rPr>
                      <w:rFonts w:ascii="Arial" w:hAnsi="Arial" w:cs="Arial"/>
                      <w:lang w:val="en-US"/>
                    </w:rPr>
                    <w:t>w</w:t>
                  </w:r>
                  <w:r w:rsidR="00B305C9" w:rsidRPr="009246FF">
                    <w:rPr>
                      <w:rFonts w:ascii="Arial" w:hAnsi="Arial" w:cs="Arial"/>
                      <w:lang w:val="en-US"/>
                    </w:rPr>
                    <w:t xml:space="preserve">ater </w:t>
                  </w:r>
                  <w:r w:rsidR="00CD7DFC" w:rsidRPr="009246FF">
                    <w:rPr>
                      <w:rFonts w:ascii="Arial" w:hAnsi="Arial" w:cs="Arial"/>
                      <w:lang w:val="en-US"/>
                    </w:rPr>
                    <w:t>r</w:t>
                  </w:r>
                  <w:r w:rsidR="00B305C9" w:rsidRPr="009246FF">
                    <w:rPr>
                      <w:rFonts w:ascii="Arial" w:hAnsi="Arial" w:cs="Arial"/>
                      <w:lang w:val="en-US"/>
                    </w:rPr>
                    <w:t>un-off</w:t>
                  </w:r>
                  <w:r w:rsidR="00CD7DFC" w:rsidRPr="009246FF">
                    <w:rPr>
                      <w:rFonts w:ascii="Arial" w:hAnsi="Arial" w:cs="Arial"/>
                      <w:lang w:val="en-US"/>
                    </w:rPr>
                    <w:t xml:space="preserve"> from construction </w:t>
                  </w:r>
                  <w:proofErr w:type="gramStart"/>
                  <w:r w:rsidR="00CD7DFC" w:rsidRPr="009246FF">
                    <w:rPr>
                      <w:rFonts w:ascii="Arial" w:hAnsi="Arial" w:cs="Arial"/>
                      <w:lang w:val="en-US"/>
                    </w:rPr>
                    <w:t>works</w:t>
                  </w:r>
                  <w:proofErr w:type="gramEnd"/>
                </w:p>
                <w:p w14:paraId="2A3F55C1" w14:textId="77777777" w:rsidR="00D20525" w:rsidRPr="009246FF" w:rsidRDefault="00D20525" w:rsidP="00FC4C21">
                  <w:pPr>
                    <w:jc w:val="both"/>
                    <w:rPr>
                      <w:rFonts w:ascii="Arial" w:hAnsi="Arial" w:cs="Arial"/>
                      <w:lang w:val="en-US"/>
                    </w:rPr>
                  </w:pPr>
                </w:p>
                <w:p w14:paraId="430F46E6" w14:textId="34421891" w:rsidR="00F4681E" w:rsidRPr="009246FF" w:rsidRDefault="00E411AC" w:rsidP="00FC4C21">
                  <w:pPr>
                    <w:jc w:val="both"/>
                    <w:rPr>
                      <w:rFonts w:ascii="Arial" w:hAnsi="Arial" w:cs="Arial"/>
                      <w:lang w:val="en-US"/>
                    </w:rPr>
                  </w:pPr>
                  <w:r w:rsidRPr="009246FF">
                    <w:rPr>
                      <w:rFonts w:ascii="Arial" w:hAnsi="Arial" w:cs="Arial"/>
                      <w:lang w:val="en-US"/>
                    </w:rPr>
                    <w:t>C</w:t>
                  </w:r>
                  <w:r w:rsidR="00F4681E" w:rsidRPr="009246FF">
                    <w:rPr>
                      <w:rFonts w:ascii="Arial" w:hAnsi="Arial" w:cs="Arial"/>
                      <w:lang w:val="en-US"/>
                    </w:rPr>
                    <w:t>.  Accidental spillages of HVO fuel leading to</w:t>
                  </w:r>
                  <w:r w:rsidR="00611757" w:rsidRPr="009246FF">
                    <w:rPr>
                      <w:rFonts w:ascii="Arial" w:hAnsi="Arial" w:cs="Arial"/>
                      <w:lang w:val="en-US"/>
                    </w:rPr>
                    <w:t xml:space="preserve"> contaminated</w:t>
                  </w:r>
                  <w:r w:rsidR="00F4681E" w:rsidRPr="009246FF">
                    <w:rPr>
                      <w:rFonts w:ascii="Arial" w:hAnsi="Arial" w:cs="Arial"/>
                      <w:lang w:val="en-US"/>
                    </w:rPr>
                    <w:t xml:space="preserve"> run-</w:t>
                  </w:r>
                  <w:proofErr w:type="gramStart"/>
                  <w:r w:rsidR="00F4681E" w:rsidRPr="009246FF">
                    <w:rPr>
                      <w:rFonts w:ascii="Arial" w:hAnsi="Arial" w:cs="Arial"/>
                      <w:lang w:val="en-US"/>
                    </w:rPr>
                    <w:t xml:space="preserve">off </w:t>
                  </w:r>
                  <w:r w:rsidR="00611757" w:rsidRPr="009246FF">
                    <w:rPr>
                      <w:rFonts w:ascii="Arial" w:hAnsi="Arial" w:cs="Arial"/>
                      <w:lang w:val="en-US"/>
                    </w:rPr>
                    <w:t xml:space="preserve"> to</w:t>
                  </w:r>
                  <w:proofErr w:type="gramEnd"/>
                  <w:r w:rsidR="00611757" w:rsidRPr="009246FF">
                    <w:rPr>
                      <w:rFonts w:ascii="Arial" w:hAnsi="Arial" w:cs="Arial"/>
                      <w:lang w:val="en-US"/>
                    </w:rPr>
                    <w:t xml:space="preserve"> the SPA</w:t>
                  </w:r>
                </w:p>
              </w:tc>
              <w:tc>
                <w:tcPr>
                  <w:tcW w:w="2268" w:type="dxa"/>
                </w:tcPr>
                <w:p w14:paraId="3C1FD0C7" w14:textId="56E6DE1C" w:rsidR="00FC4C21" w:rsidRPr="009246FF" w:rsidRDefault="00FC4C21" w:rsidP="00FC4C21">
                  <w:pPr>
                    <w:pStyle w:val="NormalWeb"/>
                    <w:shd w:val="clear" w:color="auto" w:fill="FFFFFF"/>
                    <w:spacing w:before="0" w:beforeAutospacing="0" w:after="180" w:afterAutospacing="0"/>
                    <w:jc w:val="both"/>
                    <w:rPr>
                      <w:rFonts w:ascii="Arial" w:hAnsi="Arial" w:cs="Arial"/>
                      <w:color w:val="000000"/>
                      <w:sz w:val="22"/>
                      <w:szCs w:val="22"/>
                    </w:rPr>
                  </w:pPr>
                  <w:r w:rsidRPr="009246FF">
                    <w:rPr>
                      <w:rFonts w:ascii="Arial" w:hAnsi="Arial" w:cs="Arial"/>
                      <w:sz w:val="22"/>
                      <w:szCs w:val="22"/>
                    </w:rPr>
                    <w:t>0km – Directly adjacent to the boundary of the Site</w:t>
                  </w:r>
                </w:p>
              </w:tc>
              <w:tc>
                <w:tcPr>
                  <w:tcW w:w="5553" w:type="dxa"/>
                </w:tcPr>
                <w:p w14:paraId="095D4E35" w14:textId="77777777" w:rsidR="00FC4C21" w:rsidRPr="009246FF" w:rsidRDefault="00FC4C21" w:rsidP="00FC4C21">
                  <w:pPr>
                    <w:pStyle w:val="NoSpacing"/>
                    <w:jc w:val="both"/>
                    <w:rPr>
                      <w:rFonts w:ascii="Arial" w:hAnsi="Arial" w:cs="Arial"/>
                    </w:rPr>
                  </w:pPr>
                  <w:r w:rsidRPr="009246FF">
                    <w:rPr>
                      <w:rFonts w:ascii="Arial" w:hAnsi="Arial" w:cs="Arial"/>
                    </w:rPr>
                    <w:t xml:space="preserve">Cormorant </w:t>
                  </w:r>
                  <w:r w:rsidRPr="009246FF">
                    <w:rPr>
                      <w:rFonts w:ascii="Arial" w:hAnsi="Arial" w:cs="Arial"/>
                      <w:i/>
                      <w:iCs/>
                    </w:rPr>
                    <w:t xml:space="preserve">Phalacrocorax carbo </w:t>
                  </w:r>
                  <w:r w:rsidRPr="009246FF">
                    <w:rPr>
                      <w:rFonts w:ascii="Arial" w:hAnsi="Arial" w:cs="Arial"/>
                    </w:rPr>
                    <w:t xml:space="preserve">(A017) </w:t>
                  </w:r>
                  <w:r w:rsidRPr="009246FF">
                    <w:rPr>
                      <w:rFonts w:ascii="Arial" w:hAnsi="Arial" w:cs="Arial"/>
                      <w:b/>
                    </w:rPr>
                    <w:t>M</w:t>
                  </w:r>
                  <w:r w:rsidRPr="009246FF">
                    <w:rPr>
                      <w:rFonts w:ascii="Arial" w:hAnsi="Arial" w:cs="Arial"/>
                    </w:rPr>
                    <w:t xml:space="preserve"> </w:t>
                  </w:r>
                </w:p>
                <w:p w14:paraId="5B8DF5A2" w14:textId="77777777" w:rsidR="00FC4C21" w:rsidRPr="009246FF" w:rsidRDefault="00FC4C21" w:rsidP="00FC4C21">
                  <w:pPr>
                    <w:pStyle w:val="NoSpacing"/>
                    <w:jc w:val="both"/>
                    <w:rPr>
                      <w:rFonts w:ascii="Arial" w:hAnsi="Arial" w:cs="Arial"/>
                    </w:rPr>
                  </w:pPr>
                  <w:r w:rsidRPr="009246FF">
                    <w:rPr>
                      <w:rFonts w:ascii="Arial" w:hAnsi="Arial" w:cs="Arial"/>
                    </w:rPr>
                    <w:t xml:space="preserve">Whopper Swan </w:t>
                  </w:r>
                  <w:r w:rsidRPr="009246FF">
                    <w:rPr>
                      <w:rFonts w:ascii="Arial" w:hAnsi="Arial" w:cs="Arial"/>
                      <w:i/>
                      <w:iCs/>
                    </w:rPr>
                    <w:t xml:space="preserve">Cygnus </w:t>
                  </w:r>
                  <w:proofErr w:type="spellStart"/>
                  <w:r w:rsidRPr="009246FF">
                    <w:rPr>
                      <w:rFonts w:ascii="Arial" w:hAnsi="Arial" w:cs="Arial"/>
                      <w:i/>
                      <w:iCs/>
                    </w:rPr>
                    <w:t>cygnus</w:t>
                  </w:r>
                  <w:proofErr w:type="spellEnd"/>
                  <w:r w:rsidRPr="009246FF">
                    <w:rPr>
                      <w:rFonts w:ascii="Arial" w:hAnsi="Arial" w:cs="Arial"/>
                    </w:rPr>
                    <w:t xml:space="preserve"> (A038) </w:t>
                  </w:r>
                  <w:r w:rsidRPr="009246FF">
                    <w:rPr>
                      <w:rFonts w:ascii="Arial" w:hAnsi="Arial" w:cs="Arial"/>
                      <w:b/>
                    </w:rPr>
                    <w:t>M</w:t>
                  </w:r>
                  <w:r w:rsidRPr="009246FF">
                    <w:rPr>
                      <w:rFonts w:ascii="Arial" w:hAnsi="Arial" w:cs="Arial"/>
                    </w:rPr>
                    <w:t xml:space="preserve"> </w:t>
                  </w:r>
                </w:p>
                <w:p w14:paraId="70153266" w14:textId="77777777" w:rsidR="00FC4C21" w:rsidRPr="009246FF" w:rsidRDefault="00FC4C21" w:rsidP="00FC4C21">
                  <w:pPr>
                    <w:pStyle w:val="NoSpacing"/>
                    <w:jc w:val="both"/>
                    <w:rPr>
                      <w:rFonts w:ascii="Arial" w:hAnsi="Arial" w:cs="Arial"/>
                      <w:b/>
                    </w:rPr>
                  </w:pPr>
                  <w:r w:rsidRPr="009246FF">
                    <w:rPr>
                      <w:rFonts w:ascii="Arial" w:hAnsi="Arial" w:cs="Arial"/>
                    </w:rPr>
                    <w:t xml:space="preserve">Light-bellied Brent Goose </w:t>
                  </w:r>
                  <w:r w:rsidRPr="009246FF">
                    <w:rPr>
                      <w:rFonts w:ascii="Arial" w:hAnsi="Arial" w:cs="Arial"/>
                      <w:i/>
                      <w:iCs/>
                    </w:rPr>
                    <w:t xml:space="preserve">Branta </w:t>
                  </w:r>
                  <w:proofErr w:type="spellStart"/>
                  <w:r w:rsidRPr="009246FF">
                    <w:rPr>
                      <w:rFonts w:ascii="Arial" w:hAnsi="Arial" w:cs="Arial"/>
                      <w:i/>
                      <w:iCs/>
                    </w:rPr>
                    <w:t>bernicla</w:t>
                  </w:r>
                  <w:proofErr w:type="spellEnd"/>
                  <w:r w:rsidRPr="009246FF">
                    <w:rPr>
                      <w:rFonts w:ascii="Arial" w:hAnsi="Arial" w:cs="Arial"/>
                      <w:i/>
                      <w:iCs/>
                    </w:rPr>
                    <w:t xml:space="preserve"> </w:t>
                  </w:r>
                  <w:proofErr w:type="spellStart"/>
                  <w:r w:rsidRPr="009246FF">
                    <w:rPr>
                      <w:rFonts w:ascii="Arial" w:hAnsi="Arial" w:cs="Arial"/>
                      <w:i/>
                      <w:iCs/>
                    </w:rPr>
                    <w:t>hrota</w:t>
                  </w:r>
                  <w:proofErr w:type="spellEnd"/>
                  <w:r w:rsidRPr="009246FF">
                    <w:rPr>
                      <w:rFonts w:ascii="Arial" w:hAnsi="Arial" w:cs="Arial"/>
                    </w:rPr>
                    <w:t xml:space="preserve"> (A046) </w:t>
                  </w:r>
                  <w:r w:rsidRPr="009246FF">
                    <w:rPr>
                      <w:rFonts w:ascii="Arial" w:hAnsi="Arial" w:cs="Arial"/>
                      <w:b/>
                    </w:rPr>
                    <w:t>M</w:t>
                  </w:r>
                </w:p>
                <w:p w14:paraId="783B5821" w14:textId="77777777" w:rsidR="00FC4C21" w:rsidRPr="009246FF" w:rsidRDefault="00FC4C21" w:rsidP="00FC4C21">
                  <w:pPr>
                    <w:pStyle w:val="NoSpacing"/>
                    <w:jc w:val="both"/>
                    <w:rPr>
                      <w:rFonts w:ascii="Arial" w:hAnsi="Arial" w:cs="Arial"/>
                    </w:rPr>
                  </w:pPr>
                  <w:r w:rsidRPr="009246FF">
                    <w:rPr>
                      <w:rFonts w:ascii="Arial" w:hAnsi="Arial" w:cs="Arial"/>
                    </w:rPr>
                    <w:t xml:space="preserve">Shelduck </w:t>
                  </w:r>
                  <w:r w:rsidRPr="009246FF">
                    <w:rPr>
                      <w:rFonts w:ascii="Arial" w:hAnsi="Arial" w:cs="Arial"/>
                      <w:i/>
                      <w:iCs/>
                    </w:rPr>
                    <w:t xml:space="preserve">Tadorna </w:t>
                  </w:r>
                  <w:proofErr w:type="spellStart"/>
                  <w:r w:rsidRPr="009246FF">
                    <w:rPr>
                      <w:rFonts w:ascii="Arial" w:hAnsi="Arial" w:cs="Arial"/>
                      <w:i/>
                      <w:iCs/>
                    </w:rPr>
                    <w:t>Tadorna</w:t>
                  </w:r>
                  <w:proofErr w:type="spellEnd"/>
                  <w:r w:rsidRPr="009246FF">
                    <w:rPr>
                      <w:rFonts w:ascii="Arial" w:hAnsi="Arial" w:cs="Arial"/>
                      <w:i/>
                      <w:iCs/>
                    </w:rPr>
                    <w:t xml:space="preserve"> </w:t>
                  </w:r>
                  <w:r w:rsidRPr="009246FF">
                    <w:rPr>
                      <w:rFonts w:ascii="Arial" w:hAnsi="Arial" w:cs="Arial"/>
                    </w:rPr>
                    <w:t xml:space="preserve">(A048) </w:t>
                  </w:r>
                  <w:r w:rsidRPr="009246FF">
                    <w:rPr>
                      <w:rFonts w:ascii="Arial" w:hAnsi="Arial" w:cs="Arial"/>
                      <w:b/>
                    </w:rPr>
                    <w:t>M</w:t>
                  </w:r>
                  <w:r w:rsidRPr="009246FF">
                    <w:rPr>
                      <w:rFonts w:ascii="Arial" w:hAnsi="Arial" w:cs="Arial"/>
                    </w:rPr>
                    <w:t xml:space="preserve"> </w:t>
                  </w:r>
                </w:p>
                <w:p w14:paraId="17B0EB8B" w14:textId="77777777" w:rsidR="00FC4C21" w:rsidRPr="009246FF" w:rsidRDefault="00FC4C21" w:rsidP="00FC4C21">
                  <w:pPr>
                    <w:pStyle w:val="NoSpacing"/>
                    <w:jc w:val="both"/>
                    <w:rPr>
                      <w:rFonts w:ascii="Arial" w:hAnsi="Arial" w:cs="Arial"/>
                    </w:rPr>
                  </w:pPr>
                  <w:r w:rsidRPr="009246FF">
                    <w:rPr>
                      <w:rFonts w:ascii="Arial" w:hAnsi="Arial" w:cs="Arial"/>
                    </w:rPr>
                    <w:t xml:space="preserve">Wigeon </w:t>
                  </w:r>
                  <w:r w:rsidRPr="009246FF">
                    <w:rPr>
                      <w:rFonts w:ascii="Arial" w:hAnsi="Arial" w:cs="Arial"/>
                      <w:i/>
                      <w:iCs/>
                    </w:rPr>
                    <w:t xml:space="preserve">Anas Penelope </w:t>
                  </w:r>
                  <w:r w:rsidRPr="009246FF">
                    <w:rPr>
                      <w:rFonts w:ascii="Arial" w:hAnsi="Arial" w:cs="Arial"/>
                    </w:rPr>
                    <w:t xml:space="preserve">(A050) </w:t>
                  </w:r>
                  <w:r w:rsidRPr="009246FF">
                    <w:rPr>
                      <w:rFonts w:ascii="Arial" w:hAnsi="Arial" w:cs="Arial"/>
                      <w:b/>
                    </w:rPr>
                    <w:t>M</w:t>
                  </w:r>
                  <w:r w:rsidRPr="009246FF">
                    <w:rPr>
                      <w:rFonts w:ascii="Arial" w:hAnsi="Arial" w:cs="Arial"/>
                    </w:rPr>
                    <w:t xml:space="preserve"> </w:t>
                  </w:r>
                </w:p>
                <w:p w14:paraId="7948E937" w14:textId="77777777" w:rsidR="00FC4C21" w:rsidRPr="009246FF" w:rsidRDefault="00FC4C21" w:rsidP="00FC4C21">
                  <w:pPr>
                    <w:pStyle w:val="NoSpacing"/>
                    <w:jc w:val="both"/>
                    <w:rPr>
                      <w:rFonts w:ascii="Arial" w:hAnsi="Arial" w:cs="Arial"/>
                    </w:rPr>
                  </w:pPr>
                  <w:r w:rsidRPr="009246FF">
                    <w:rPr>
                      <w:rFonts w:ascii="Arial" w:hAnsi="Arial" w:cs="Arial"/>
                    </w:rPr>
                    <w:t xml:space="preserve">Teal </w:t>
                  </w:r>
                  <w:r w:rsidRPr="009246FF">
                    <w:rPr>
                      <w:rFonts w:ascii="Arial" w:hAnsi="Arial" w:cs="Arial"/>
                      <w:i/>
                      <w:iCs/>
                    </w:rPr>
                    <w:t xml:space="preserve">Anas crecca </w:t>
                  </w:r>
                  <w:r w:rsidRPr="009246FF">
                    <w:rPr>
                      <w:rFonts w:ascii="Arial" w:hAnsi="Arial" w:cs="Arial"/>
                    </w:rPr>
                    <w:t xml:space="preserve">(A052) </w:t>
                  </w:r>
                  <w:r w:rsidRPr="009246FF">
                    <w:rPr>
                      <w:rFonts w:ascii="Arial" w:hAnsi="Arial" w:cs="Arial"/>
                      <w:b/>
                    </w:rPr>
                    <w:t>M</w:t>
                  </w:r>
                  <w:r w:rsidRPr="009246FF">
                    <w:rPr>
                      <w:rFonts w:ascii="Arial" w:hAnsi="Arial" w:cs="Arial"/>
                    </w:rPr>
                    <w:t xml:space="preserve"> </w:t>
                  </w:r>
                </w:p>
                <w:p w14:paraId="7D27EC3F" w14:textId="77777777" w:rsidR="00FC4C21" w:rsidRPr="009246FF" w:rsidRDefault="00FC4C21" w:rsidP="00FC4C21">
                  <w:pPr>
                    <w:pStyle w:val="NoSpacing"/>
                    <w:jc w:val="both"/>
                    <w:rPr>
                      <w:rFonts w:ascii="Arial" w:hAnsi="Arial" w:cs="Arial"/>
                    </w:rPr>
                  </w:pPr>
                  <w:r w:rsidRPr="009246FF">
                    <w:rPr>
                      <w:rFonts w:ascii="Arial" w:hAnsi="Arial" w:cs="Arial"/>
                    </w:rPr>
                    <w:t xml:space="preserve">Pintail </w:t>
                  </w:r>
                  <w:r w:rsidRPr="009246FF">
                    <w:rPr>
                      <w:rFonts w:ascii="Arial" w:hAnsi="Arial" w:cs="Arial"/>
                      <w:i/>
                      <w:iCs/>
                    </w:rPr>
                    <w:t xml:space="preserve">Anas acuta </w:t>
                  </w:r>
                  <w:r w:rsidRPr="009246FF">
                    <w:rPr>
                      <w:rFonts w:ascii="Arial" w:hAnsi="Arial" w:cs="Arial"/>
                    </w:rPr>
                    <w:t xml:space="preserve">(A054) </w:t>
                  </w:r>
                  <w:r w:rsidRPr="009246FF">
                    <w:rPr>
                      <w:rFonts w:ascii="Arial" w:hAnsi="Arial" w:cs="Arial"/>
                      <w:b/>
                    </w:rPr>
                    <w:t>M</w:t>
                  </w:r>
                  <w:r w:rsidRPr="009246FF">
                    <w:rPr>
                      <w:rFonts w:ascii="Arial" w:hAnsi="Arial" w:cs="Arial"/>
                    </w:rPr>
                    <w:t xml:space="preserve"> </w:t>
                  </w:r>
                </w:p>
                <w:p w14:paraId="7F9F2418" w14:textId="77777777" w:rsidR="00FC4C21" w:rsidRPr="009246FF" w:rsidRDefault="00FC4C21" w:rsidP="00FC4C21">
                  <w:pPr>
                    <w:pStyle w:val="NoSpacing"/>
                    <w:jc w:val="both"/>
                    <w:rPr>
                      <w:rFonts w:ascii="Arial" w:hAnsi="Arial" w:cs="Arial"/>
                    </w:rPr>
                  </w:pPr>
                  <w:r w:rsidRPr="009246FF">
                    <w:rPr>
                      <w:rFonts w:ascii="Arial" w:hAnsi="Arial" w:cs="Arial"/>
                    </w:rPr>
                    <w:t xml:space="preserve">Shoveler </w:t>
                  </w:r>
                  <w:r w:rsidRPr="009246FF">
                    <w:rPr>
                      <w:rFonts w:ascii="Arial" w:hAnsi="Arial" w:cs="Arial"/>
                      <w:i/>
                      <w:iCs/>
                    </w:rPr>
                    <w:t xml:space="preserve">Anas </w:t>
                  </w:r>
                  <w:proofErr w:type="spellStart"/>
                  <w:r w:rsidRPr="009246FF">
                    <w:rPr>
                      <w:rFonts w:ascii="Arial" w:hAnsi="Arial" w:cs="Arial"/>
                      <w:i/>
                      <w:iCs/>
                    </w:rPr>
                    <w:t>clypeata</w:t>
                  </w:r>
                  <w:proofErr w:type="spellEnd"/>
                  <w:r w:rsidRPr="009246FF">
                    <w:rPr>
                      <w:rFonts w:ascii="Arial" w:hAnsi="Arial" w:cs="Arial"/>
                    </w:rPr>
                    <w:t xml:space="preserve"> (A056) </w:t>
                  </w:r>
                  <w:r w:rsidRPr="009246FF">
                    <w:rPr>
                      <w:rFonts w:ascii="Arial" w:hAnsi="Arial" w:cs="Arial"/>
                      <w:b/>
                    </w:rPr>
                    <w:t>M</w:t>
                  </w:r>
                  <w:r w:rsidRPr="009246FF">
                    <w:rPr>
                      <w:rFonts w:ascii="Arial" w:hAnsi="Arial" w:cs="Arial"/>
                    </w:rPr>
                    <w:t xml:space="preserve"> </w:t>
                  </w:r>
                </w:p>
                <w:p w14:paraId="74432BFF" w14:textId="5C57D912" w:rsidR="00FC4C21" w:rsidRPr="009246FF" w:rsidRDefault="00FC4C21" w:rsidP="00FC4C21">
                  <w:pPr>
                    <w:pStyle w:val="NoSpacing"/>
                    <w:jc w:val="both"/>
                    <w:rPr>
                      <w:rFonts w:ascii="Arial" w:hAnsi="Arial" w:cs="Arial"/>
                    </w:rPr>
                  </w:pPr>
                  <w:r w:rsidRPr="009246FF">
                    <w:rPr>
                      <w:rFonts w:ascii="Arial" w:hAnsi="Arial" w:cs="Arial"/>
                    </w:rPr>
                    <w:t xml:space="preserve">Scaup </w:t>
                  </w:r>
                  <w:r w:rsidRPr="009246FF">
                    <w:rPr>
                      <w:rFonts w:ascii="Arial" w:hAnsi="Arial" w:cs="Arial"/>
                      <w:i/>
                      <w:iCs/>
                    </w:rPr>
                    <w:t xml:space="preserve">Aythya </w:t>
                  </w:r>
                  <w:proofErr w:type="spellStart"/>
                  <w:r w:rsidRPr="009246FF">
                    <w:rPr>
                      <w:rFonts w:ascii="Arial" w:hAnsi="Arial" w:cs="Arial"/>
                      <w:i/>
                      <w:iCs/>
                    </w:rPr>
                    <w:t>marila</w:t>
                  </w:r>
                  <w:proofErr w:type="spellEnd"/>
                  <w:r w:rsidRPr="009246FF">
                    <w:rPr>
                      <w:rFonts w:ascii="Arial" w:hAnsi="Arial" w:cs="Arial"/>
                    </w:rPr>
                    <w:t xml:space="preserve"> (A062) </w:t>
                  </w:r>
                  <w:r w:rsidRPr="009246FF">
                    <w:rPr>
                      <w:rFonts w:ascii="Arial" w:hAnsi="Arial" w:cs="Arial"/>
                      <w:b/>
                    </w:rPr>
                    <w:t>M</w:t>
                  </w:r>
                  <w:r w:rsidRPr="009246FF">
                    <w:rPr>
                      <w:rFonts w:ascii="Arial" w:hAnsi="Arial" w:cs="Arial"/>
                    </w:rPr>
                    <w:t xml:space="preserve"> </w:t>
                  </w:r>
                </w:p>
                <w:p w14:paraId="4FFBC67A" w14:textId="77777777" w:rsidR="00FC4C21" w:rsidRPr="009246FF" w:rsidRDefault="00FC4C21" w:rsidP="00FC4C21">
                  <w:pPr>
                    <w:pStyle w:val="NoSpacing"/>
                    <w:jc w:val="both"/>
                    <w:rPr>
                      <w:rFonts w:ascii="Arial" w:hAnsi="Arial" w:cs="Arial"/>
                    </w:rPr>
                  </w:pPr>
                  <w:r w:rsidRPr="009246FF">
                    <w:rPr>
                      <w:rFonts w:ascii="Arial" w:hAnsi="Arial" w:cs="Arial"/>
                    </w:rPr>
                    <w:t xml:space="preserve">Ringed Plover </w:t>
                  </w:r>
                  <w:r w:rsidRPr="009246FF">
                    <w:rPr>
                      <w:rFonts w:ascii="Arial" w:hAnsi="Arial" w:cs="Arial"/>
                      <w:i/>
                      <w:iCs/>
                    </w:rPr>
                    <w:t xml:space="preserve">Charadrius </w:t>
                  </w:r>
                  <w:proofErr w:type="spellStart"/>
                  <w:r w:rsidRPr="009246FF">
                    <w:rPr>
                      <w:rFonts w:ascii="Arial" w:hAnsi="Arial" w:cs="Arial"/>
                      <w:i/>
                      <w:iCs/>
                    </w:rPr>
                    <w:t>hiaticula</w:t>
                  </w:r>
                  <w:proofErr w:type="spellEnd"/>
                  <w:r w:rsidRPr="009246FF">
                    <w:rPr>
                      <w:rFonts w:ascii="Arial" w:hAnsi="Arial" w:cs="Arial"/>
                    </w:rPr>
                    <w:t xml:space="preserve"> (A137) </w:t>
                  </w:r>
                  <w:r w:rsidRPr="009246FF">
                    <w:rPr>
                      <w:rFonts w:ascii="Arial" w:hAnsi="Arial" w:cs="Arial"/>
                      <w:b/>
                    </w:rPr>
                    <w:t>M</w:t>
                  </w:r>
                  <w:r w:rsidRPr="009246FF">
                    <w:rPr>
                      <w:rFonts w:ascii="Arial" w:hAnsi="Arial" w:cs="Arial"/>
                    </w:rPr>
                    <w:t xml:space="preserve"> </w:t>
                  </w:r>
                </w:p>
                <w:p w14:paraId="08FA2571" w14:textId="77777777" w:rsidR="00FC4C21" w:rsidRPr="009246FF" w:rsidRDefault="00FC4C21" w:rsidP="00FC4C21">
                  <w:pPr>
                    <w:pStyle w:val="NoSpacing"/>
                    <w:jc w:val="both"/>
                    <w:rPr>
                      <w:rFonts w:ascii="Arial" w:hAnsi="Arial" w:cs="Arial"/>
                    </w:rPr>
                  </w:pPr>
                  <w:r w:rsidRPr="009246FF">
                    <w:rPr>
                      <w:rFonts w:ascii="Arial" w:hAnsi="Arial" w:cs="Arial"/>
                    </w:rPr>
                    <w:t xml:space="preserve">Golden Plover </w:t>
                  </w:r>
                  <w:r w:rsidRPr="009246FF">
                    <w:rPr>
                      <w:rFonts w:ascii="Arial" w:hAnsi="Arial" w:cs="Arial"/>
                      <w:i/>
                      <w:iCs/>
                    </w:rPr>
                    <w:t xml:space="preserve">Pluvialis apricaria </w:t>
                  </w:r>
                  <w:r w:rsidRPr="009246FF">
                    <w:rPr>
                      <w:rFonts w:ascii="Arial" w:hAnsi="Arial" w:cs="Arial"/>
                    </w:rPr>
                    <w:t xml:space="preserve">(A140) </w:t>
                  </w:r>
                  <w:r w:rsidRPr="009246FF">
                    <w:rPr>
                      <w:rFonts w:ascii="Arial" w:hAnsi="Arial" w:cs="Arial"/>
                      <w:b/>
                    </w:rPr>
                    <w:t>M</w:t>
                  </w:r>
                  <w:r w:rsidRPr="009246FF">
                    <w:rPr>
                      <w:rFonts w:ascii="Arial" w:hAnsi="Arial" w:cs="Arial"/>
                    </w:rPr>
                    <w:t xml:space="preserve"> </w:t>
                  </w:r>
                </w:p>
                <w:p w14:paraId="7F7B21D6" w14:textId="77777777" w:rsidR="00FC4C21" w:rsidRPr="00A34008" w:rsidRDefault="00FC4C21" w:rsidP="00FC4C21">
                  <w:pPr>
                    <w:pStyle w:val="NoSpacing"/>
                    <w:jc w:val="both"/>
                    <w:rPr>
                      <w:rFonts w:ascii="Arial" w:hAnsi="Arial" w:cs="Arial"/>
                      <w:lang w:val="it-IT"/>
                    </w:rPr>
                  </w:pPr>
                  <w:r w:rsidRPr="00A34008">
                    <w:rPr>
                      <w:rFonts w:ascii="Arial" w:hAnsi="Arial" w:cs="Arial"/>
                      <w:lang w:val="it-IT"/>
                    </w:rPr>
                    <w:t xml:space="preserve">Grey Plover Pluvialis squatarola (A141) </w:t>
                  </w:r>
                  <w:r w:rsidRPr="00A34008">
                    <w:rPr>
                      <w:rFonts w:ascii="Arial" w:hAnsi="Arial" w:cs="Arial"/>
                      <w:b/>
                      <w:lang w:val="it-IT"/>
                    </w:rPr>
                    <w:t>M</w:t>
                  </w:r>
                  <w:r w:rsidRPr="00A34008">
                    <w:rPr>
                      <w:rFonts w:ascii="Arial" w:hAnsi="Arial" w:cs="Arial"/>
                      <w:lang w:val="it-IT"/>
                    </w:rPr>
                    <w:t xml:space="preserve"> </w:t>
                  </w:r>
                </w:p>
                <w:p w14:paraId="31CDFB04" w14:textId="77777777" w:rsidR="00FC4C21" w:rsidRPr="00A34008" w:rsidRDefault="00FC4C21" w:rsidP="00FC4C21">
                  <w:pPr>
                    <w:pStyle w:val="NoSpacing"/>
                    <w:jc w:val="both"/>
                    <w:rPr>
                      <w:rFonts w:ascii="Arial" w:hAnsi="Arial" w:cs="Arial"/>
                      <w:lang w:val="it-IT"/>
                    </w:rPr>
                  </w:pPr>
                  <w:r w:rsidRPr="00A34008">
                    <w:rPr>
                      <w:rFonts w:ascii="Arial" w:hAnsi="Arial" w:cs="Arial"/>
                      <w:lang w:val="it-IT"/>
                    </w:rPr>
                    <w:t xml:space="preserve">Lapwing </w:t>
                  </w:r>
                  <w:r w:rsidRPr="00A34008">
                    <w:rPr>
                      <w:rFonts w:ascii="Arial" w:hAnsi="Arial" w:cs="Arial"/>
                      <w:i/>
                      <w:iCs/>
                      <w:lang w:val="it-IT"/>
                    </w:rPr>
                    <w:t xml:space="preserve">Vanellus vanellus </w:t>
                  </w:r>
                  <w:r w:rsidRPr="00A34008">
                    <w:rPr>
                      <w:rFonts w:ascii="Arial" w:hAnsi="Arial" w:cs="Arial"/>
                      <w:lang w:val="it-IT"/>
                    </w:rPr>
                    <w:t xml:space="preserve">(A142) </w:t>
                  </w:r>
                  <w:r w:rsidRPr="00A34008">
                    <w:rPr>
                      <w:rFonts w:ascii="Arial" w:hAnsi="Arial" w:cs="Arial"/>
                      <w:b/>
                      <w:lang w:val="it-IT"/>
                    </w:rPr>
                    <w:t>M</w:t>
                  </w:r>
                  <w:r w:rsidRPr="00A34008">
                    <w:rPr>
                      <w:rFonts w:ascii="Arial" w:hAnsi="Arial" w:cs="Arial"/>
                      <w:lang w:val="it-IT"/>
                    </w:rPr>
                    <w:t xml:space="preserve"> </w:t>
                  </w:r>
                </w:p>
                <w:p w14:paraId="46238E10" w14:textId="4479FE4D" w:rsidR="00FC4C21" w:rsidRPr="009246FF" w:rsidRDefault="00FC4C21" w:rsidP="00FC4C21">
                  <w:pPr>
                    <w:pStyle w:val="NoSpacing"/>
                    <w:jc w:val="both"/>
                    <w:rPr>
                      <w:rFonts w:ascii="Arial" w:hAnsi="Arial" w:cs="Arial"/>
                      <w:i/>
                      <w:iCs/>
                    </w:rPr>
                  </w:pPr>
                  <w:r w:rsidRPr="009246FF">
                    <w:rPr>
                      <w:rFonts w:ascii="Arial" w:hAnsi="Arial" w:cs="Arial"/>
                    </w:rPr>
                    <w:t xml:space="preserve">Knot </w:t>
                  </w:r>
                  <w:r w:rsidRPr="009246FF">
                    <w:rPr>
                      <w:rFonts w:ascii="Arial" w:hAnsi="Arial" w:cs="Arial"/>
                      <w:i/>
                      <w:iCs/>
                    </w:rPr>
                    <w:t>Calidris canutus (A143)</w:t>
                  </w:r>
                  <w:r w:rsidR="0030390C" w:rsidRPr="009246FF">
                    <w:rPr>
                      <w:rFonts w:ascii="Arial" w:hAnsi="Arial" w:cs="Arial"/>
                      <w:i/>
                      <w:iCs/>
                    </w:rPr>
                    <w:t xml:space="preserve"> </w:t>
                  </w:r>
                  <w:r w:rsidR="0030390C" w:rsidRPr="009246FF">
                    <w:rPr>
                      <w:rFonts w:ascii="Arial" w:hAnsi="Arial" w:cs="Arial"/>
                      <w:b/>
                    </w:rPr>
                    <w:t>M</w:t>
                  </w:r>
                </w:p>
                <w:p w14:paraId="5D0DCBD6" w14:textId="77777777" w:rsidR="00FC4C21" w:rsidRPr="009246FF" w:rsidRDefault="00FC4C21" w:rsidP="00FC4C21">
                  <w:pPr>
                    <w:pStyle w:val="NoSpacing"/>
                    <w:jc w:val="both"/>
                    <w:rPr>
                      <w:rFonts w:ascii="Arial" w:hAnsi="Arial" w:cs="Arial"/>
                    </w:rPr>
                  </w:pPr>
                  <w:r w:rsidRPr="009246FF">
                    <w:rPr>
                      <w:rFonts w:ascii="Arial" w:hAnsi="Arial" w:cs="Arial"/>
                    </w:rPr>
                    <w:t xml:space="preserve">Dunlin </w:t>
                  </w:r>
                  <w:r w:rsidRPr="009246FF">
                    <w:rPr>
                      <w:rFonts w:ascii="Arial" w:hAnsi="Arial" w:cs="Arial"/>
                      <w:i/>
                      <w:iCs/>
                    </w:rPr>
                    <w:t xml:space="preserve">Calidris </w:t>
                  </w:r>
                  <w:proofErr w:type="spellStart"/>
                  <w:r w:rsidRPr="009246FF">
                    <w:rPr>
                      <w:rFonts w:ascii="Arial" w:hAnsi="Arial" w:cs="Arial"/>
                      <w:i/>
                      <w:iCs/>
                    </w:rPr>
                    <w:t>alpina</w:t>
                  </w:r>
                  <w:proofErr w:type="spellEnd"/>
                  <w:r w:rsidRPr="009246FF">
                    <w:rPr>
                      <w:rFonts w:ascii="Arial" w:hAnsi="Arial" w:cs="Arial"/>
                      <w:i/>
                      <w:iCs/>
                    </w:rPr>
                    <w:t xml:space="preserve"> </w:t>
                  </w:r>
                  <w:r w:rsidRPr="009246FF">
                    <w:rPr>
                      <w:rFonts w:ascii="Arial" w:hAnsi="Arial" w:cs="Arial"/>
                    </w:rPr>
                    <w:t xml:space="preserve">(A149) </w:t>
                  </w:r>
                  <w:r w:rsidRPr="009246FF">
                    <w:rPr>
                      <w:rFonts w:ascii="Arial" w:hAnsi="Arial" w:cs="Arial"/>
                      <w:b/>
                    </w:rPr>
                    <w:t>M</w:t>
                  </w:r>
                  <w:r w:rsidRPr="009246FF">
                    <w:rPr>
                      <w:rFonts w:ascii="Arial" w:hAnsi="Arial" w:cs="Arial"/>
                    </w:rPr>
                    <w:t xml:space="preserve"> </w:t>
                  </w:r>
                </w:p>
                <w:p w14:paraId="7551AA47" w14:textId="77777777" w:rsidR="00FC4C21" w:rsidRPr="009246FF" w:rsidRDefault="00FC4C21" w:rsidP="00FC4C21">
                  <w:pPr>
                    <w:pStyle w:val="NoSpacing"/>
                    <w:jc w:val="both"/>
                    <w:rPr>
                      <w:rFonts w:ascii="Arial" w:hAnsi="Arial" w:cs="Arial"/>
                    </w:rPr>
                  </w:pPr>
                  <w:r w:rsidRPr="009246FF">
                    <w:rPr>
                      <w:rFonts w:ascii="Arial" w:hAnsi="Arial" w:cs="Arial"/>
                    </w:rPr>
                    <w:t xml:space="preserve">Black-tailed Godwit </w:t>
                  </w:r>
                  <w:r w:rsidRPr="009246FF">
                    <w:rPr>
                      <w:rFonts w:ascii="Arial" w:hAnsi="Arial" w:cs="Arial"/>
                      <w:i/>
                      <w:iCs/>
                    </w:rPr>
                    <w:t xml:space="preserve">Limosa </w:t>
                  </w:r>
                  <w:proofErr w:type="spellStart"/>
                  <w:r w:rsidRPr="009246FF">
                    <w:rPr>
                      <w:rFonts w:ascii="Arial" w:hAnsi="Arial" w:cs="Arial"/>
                      <w:i/>
                      <w:iCs/>
                    </w:rPr>
                    <w:t>limosa</w:t>
                  </w:r>
                  <w:proofErr w:type="spellEnd"/>
                  <w:r w:rsidRPr="009246FF">
                    <w:rPr>
                      <w:rFonts w:ascii="Arial" w:hAnsi="Arial" w:cs="Arial"/>
                      <w:i/>
                      <w:iCs/>
                    </w:rPr>
                    <w:t xml:space="preserve"> </w:t>
                  </w:r>
                  <w:r w:rsidRPr="009246FF">
                    <w:rPr>
                      <w:rFonts w:ascii="Arial" w:hAnsi="Arial" w:cs="Arial"/>
                    </w:rPr>
                    <w:t xml:space="preserve">(A156) </w:t>
                  </w:r>
                  <w:r w:rsidRPr="009246FF">
                    <w:rPr>
                      <w:rFonts w:ascii="Arial" w:hAnsi="Arial" w:cs="Arial"/>
                      <w:b/>
                    </w:rPr>
                    <w:t>M</w:t>
                  </w:r>
                  <w:r w:rsidRPr="009246FF">
                    <w:rPr>
                      <w:rFonts w:ascii="Arial" w:hAnsi="Arial" w:cs="Arial"/>
                    </w:rPr>
                    <w:t xml:space="preserve"> </w:t>
                  </w:r>
                </w:p>
                <w:p w14:paraId="58FE6851" w14:textId="77777777" w:rsidR="00FC4C21" w:rsidRPr="009246FF" w:rsidRDefault="00FC4C21" w:rsidP="00FC4C21">
                  <w:pPr>
                    <w:pStyle w:val="NoSpacing"/>
                    <w:jc w:val="both"/>
                    <w:rPr>
                      <w:rFonts w:ascii="Arial" w:hAnsi="Arial" w:cs="Arial"/>
                    </w:rPr>
                  </w:pPr>
                  <w:r w:rsidRPr="009246FF">
                    <w:rPr>
                      <w:rFonts w:ascii="Arial" w:hAnsi="Arial" w:cs="Arial"/>
                    </w:rPr>
                    <w:t xml:space="preserve">Bar-tailed Godwit </w:t>
                  </w:r>
                  <w:r w:rsidRPr="009246FF">
                    <w:rPr>
                      <w:rFonts w:ascii="Arial" w:hAnsi="Arial" w:cs="Arial"/>
                      <w:i/>
                      <w:iCs/>
                    </w:rPr>
                    <w:t xml:space="preserve">Limosa </w:t>
                  </w:r>
                  <w:proofErr w:type="spellStart"/>
                  <w:r w:rsidRPr="009246FF">
                    <w:rPr>
                      <w:rFonts w:ascii="Arial" w:hAnsi="Arial" w:cs="Arial"/>
                      <w:i/>
                      <w:iCs/>
                    </w:rPr>
                    <w:t>lapponica</w:t>
                  </w:r>
                  <w:proofErr w:type="spellEnd"/>
                  <w:r w:rsidRPr="009246FF">
                    <w:rPr>
                      <w:rFonts w:ascii="Arial" w:hAnsi="Arial" w:cs="Arial"/>
                      <w:i/>
                      <w:iCs/>
                    </w:rPr>
                    <w:t xml:space="preserve"> </w:t>
                  </w:r>
                  <w:r w:rsidRPr="009246FF">
                    <w:rPr>
                      <w:rFonts w:ascii="Arial" w:hAnsi="Arial" w:cs="Arial"/>
                    </w:rPr>
                    <w:t xml:space="preserve">(A157) </w:t>
                  </w:r>
                  <w:r w:rsidRPr="009246FF">
                    <w:rPr>
                      <w:rFonts w:ascii="Arial" w:hAnsi="Arial" w:cs="Arial"/>
                      <w:b/>
                    </w:rPr>
                    <w:t>M</w:t>
                  </w:r>
                  <w:r w:rsidRPr="009246FF">
                    <w:rPr>
                      <w:rFonts w:ascii="Arial" w:hAnsi="Arial" w:cs="Arial"/>
                    </w:rPr>
                    <w:t xml:space="preserve"> </w:t>
                  </w:r>
                </w:p>
                <w:p w14:paraId="32F4D573" w14:textId="77777777" w:rsidR="00FC4C21" w:rsidRPr="009246FF" w:rsidRDefault="00FC4C21" w:rsidP="00FC4C21">
                  <w:pPr>
                    <w:pStyle w:val="NoSpacing"/>
                    <w:jc w:val="both"/>
                    <w:rPr>
                      <w:rFonts w:ascii="Arial" w:hAnsi="Arial" w:cs="Arial"/>
                    </w:rPr>
                  </w:pPr>
                  <w:r w:rsidRPr="009246FF">
                    <w:rPr>
                      <w:rFonts w:ascii="Arial" w:hAnsi="Arial" w:cs="Arial"/>
                    </w:rPr>
                    <w:t xml:space="preserve">Curlew </w:t>
                  </w:r>
                  <w:r w:rsidRPr="009246FF">
                    <w:rPr>
                      <w:rFonts w:ascii="Arial" w:hAnsi="Arial" w:cs="Arial"/>
                      <w:i/>
                      <w:iCs/>
                    </w:rPr>
                    <w:t xml:space="preserve">Numenius </w:t>
                  </w:r>
                  <w:proofErr w:type="spellStart"/>
                  <w:r w:rsidRPr="009246FF">
                    <w:rPr>
                      <w:rFonts w:ascii="Arial" w:hAnsi="Arial" w:cs="Arial"/>
                      <w:i/>
                      <w:iCs/>
                    </w:rPr>
                    <w:t>arquata</w:t>
                  </w:r>
                  <w:proofErr w:type="spellEnd"/>
                  <w:r w:rsidRPr="009246FF">
                    <w:rPr>
                      <w:rFonts w:ascii="Arial" w:hAnsi="Arial" w:cs="Arial"/>
                    </w:rPr>
                    <w:t xml:space="preserve"> (A160) </w:t>
                  </w:r>
                  <w:r w:rsidRPr="009246FF">
                    <w:rPr>
                      <w:rFonts w:ascii="Arial" w:hAnsi="Arial" w:cs="Arial"/>
                      <w:b/>
                    </w:rPr>
                    <w:t>M</w:t>
                  </w:r>
                  <w:r w:rsidRPr="009246FF">
                    <w:rPr>
                      <w:rFonts w:ascii="Arial" w:hAnsi="Arial" w:cs="Arial"/>
                    </w:rPr>
                    <w:t xml:space="preserve"> </w:t>
                  </w:r>
                </w:p>
                <w:p w14:paraId="75AD7770" w14:textId="77777777" w:rsidR="00FC4C21" w:rsidRPr="009246FF" w:rsidRDefault="00FC4C21" w:rsidP="00FC4C21">
                  <w:pPr>
                    <w:pStyle w:val="NoSpacing"/>
                    <w:jc w:val="both"/>
                    <w:rPr>
                      <w:rFonts w:ascii="Arial" w:hAnsi="Arial" w:cs="Arial"/>
                    </w:rPr>
                  </w:pPr>
                  <w:r w:rsidRPr="009246FF">
                    <w:rPr>
                      <w:rFonts w:ascii="Arial" w:hAnsi="Arial" w:cs="Arial"/>
                    </w:rPr>
                    <w:t xml:space="preserve">Redshank </w:t>
                  </w:r>
                  <w:r w:rsidRPr="009246FF">
                    <w:rPr>
                      <w:rFonts w:ascii="Arial" w:hAnsi="Arial" w:cs="Arial"/>
                      <w:i/>
                      <w:iCs/>
                    </w:rPr>
                    <w:t xml:space="preserve">Tringa </w:t>
                  </w:r>
                  <w:proofErr w:type="spellStart"/>
                  <w:r w:rsidRPr="009246FF">
                    <w:rPr>
                      <w:rFonts w:ascii="Arial" w:hAnsi="Arial" w:cs="Arial"/>
                      <w:i/>
                      <w:iCs/>
                    </w:rPr>
                    <w:t>totanus</w:t>
                  </w:r>
                  <w:proofErr w:type="spellEnd"/>
                  <w:r w:rsidRPr="009246FF">
                    <w:rPr>
                      <w:rFonts w:ascii="Arial" w:hAnsi="Arial" w:cs="Arial"/>
                    </w:rPr>
                    <w:t xml:space="preserve"> (A162) </w:t>
                  </w:r>
                  <w:r w:rsidRPr="009246FF">
                    <w:rPr>
                      <w:rFonts w:ascii="Arial" w:hAnsi="Arial" w:cs="Arial"/>
                      <w:b/>
                    </w:rPr>
                    <w:t>M</w:t>
                  </w:r>
                  <w:r w:rsidRPr="009246FF">
                    <w:rPr>
                      <w:rFonts w:ascii="Arial" w:hAnsi="Arial" w:cs="Arial"/>
                    </w:rPr>
                    <w:t xml:space="preserve"> </w:t>
                  </w:r>
                </w:p>
                <w:p w14:paraId="1ACBFBA6" w14:textId="77777777" w:rsidR="00FC4C21" w:rsidRPr="009246FF" w:rsidRDefault="00FC4C21" w:rsidP="00FC4C21">
                  <w:pPr>
                    <w:pStyle w:val="NoSpacing"/>
                    <w:jc w:val="both"/>
                    <w:rPr>
                      <w:rFonts w:ascii="Arial" w:hAnsi="Arial" w:cs="Arial"/>
                    </w:rPr>
                  </w:pPr>
                  <w:r w:rsidRPr="009246FF">
                    <w:rPr>
                      <w:rFonts w:ascii="Arial" w:hAnsi="Arial" w:cs="Arial"/>
                    </w:rPr>
                    <w:t xml:space="preserve">Greenshank </w:t>
                  </w:r>
                  <w:r w:rsidRPr="009246FF">
                    <w:rPr>
                      <w:rFonts w:ascii="Arial" w:hAnsi="Arial" w:cs="Arial"/>
                      <w:i/>
                      <w:iCs/>
                    </w:rPr>
                    <w:t xml:space="preserve">Tringa </w:t>
                  </w:r>
                  <w:proofErr w:type="spellStart"/>
                  <w:r w:rsidRPr="009246FF">
                    <w:rPr>
                      <w:rFonts w:ascii="Arial" w:hAnsi="Arial" w:cs="Arial"/>
                      <w:i/>
                      <w:iCs/>
                    </w:rPr>
                    <w:t>nebularia</w:t>
                  </w:r>
                  <w:proofErr w:type="spellEnd"/>
                  <w:r w:rsidRPr="009246FF">
                    <w:rPr>
                      <w:rFonts w:ascii="Arial" w:hAnsi="Arial" w:cs="Arial"/>
                      <w:i/>
                      <w:iCs/>
                    </w:rPr>
                    <w:t xml:space="preserve"> </w:t>
                  </w:r>
                  <w:r w:rsidRPr="009246FF">
                    <w:rPr>
                      <w:rFonts w:ascii="Arial" w:hAnsi="Arial" w:cs="Arial"/>
                    </w:rPr>
                    <w:t xml:space="preserve">(A164) </w:t>
                  </w:r>
                  <w:r w:rsidRPr="009246FF">
                    <w:rPr>
                      <w:rFonts w:ascii="Arial" w:hAnsi="Arial" w:cs="Arial"/>
                      <w:b/>
                    </w:rPr>
                    <w:t>M</w:t>
                  </w:r>
                  <w:r w:rsidRPr="009246FF">
                    <w:rPr>
                      <w:rFonts w:ascii="Arial" w:hAnsi="Arial" w:cs="Arial"/>
                    </w:rPr>
                    <w:t xml:space="preserve"> </w:t>
                  </w:r>
                </w:p>
                <w:p w14:paraId="332B30F7" w14:textId="77777777" w:rsidR="00FC4C21" w:rsidRPr="009246FF" w:rsidRDefault="00FC4C21" w:rsidP="00FC4C21">
                  <w:pPr>
                    <w:jc w:val="both"/>
                    <w:rPr>
                      <w:rFonts w:ascii="Arial" w:hAnsi="Arial" w:cs="Arial"/>
                      <w:b/>
                    </w:rPr>
                  </w:pPr>
                  <w:r w:rsidRPr="009246FF">
                    <w:rPr>
                      <w:rFonts w:ascii="Arial" w:hAnsi="Arial" w:cs="Arial"/>
                    </w:rPr>
                    <w:t xml:space="preserve">Black-headed Gull </w:t>
                  </w:r>
                  <w:proofErr w:type="spellStart"/>
                  <w:r w:rsidRPr="009246FF">
                    <w:rPr>
                      <w:rFonts w:ascii="Arial" w:hAnsi="Arial" w:cs="Arial"/>
                      <w:i/>
                      <w:iCs/>
                    </w:rPr>
                    <w:t>Chroicocephalus</w:t>
                  </w:r>
                  <w:proofErr w:type="spellEnd"/>
                  <w:r w:rsidRPr="009246FF">
                    <w:rPr>
                      <w:rFonts w:ascii="Arial" w:hAnsi="Arial" w:cs="Arial"/>
                      <w:i/>
                      <w:iCs/>
                    </w:rPr>
                    <w:t xml:space="preserve"> ridibundus</w:t>
                  </w:r>
                  <w:r w:rsidRPr="009246FF">
                    <w:rPr>
                      <w:rFonts w:ascii="Arial" w:hAnsi="Arial" w:cs="Arial"/>
                    </w:rPr>
                    <w:t xml:space="preserve"> (A179) </w:t>
                  </w:r>
                  <w:r w:rsidRPr="009246FF">
                    <w:rPr>
                      <w:rFonts w:ascii="Arial" w:hAnsi="Arial" w:cs="Arial"/>
                      <w:b/>
                    </w:rPr>
                    <w:t>M</w:t>
                  </w:r>
                </w:p>
                <w:p w14:paraId="28893099" w14:textId="77777777" w:rsidR="005B788F" w:rsidRPr="009246FF" w:rsidRDefault="005B788F" w:rsidP="00FC4C21">
                  <w:pPr>
                    <w:jc w:val="both"/>
                    <w:rPr>
                      <w:rFonts w:ascii="Arial" w:hAnsi="Arial" w:cs="Arial"/>
                      <w:color w:val="000000"/>
                      <w:shd w:val="clear" w:color="auto" w:fill="FFFFFF"/>
                    </w:rPr>
                  </w:pPr>
                  <w:r w:rsidRPr="009246FF">
                    <w:rPr>
                      <w:rFonts w:ascii="Arial" w:hAnsi="Arial" w:cs="Arial"/>
                      <w:color w:val="000000"/>
                      <w:shd w:val="clear" w:color="auto" w:fill="FFFFFF"/>
                    </w:rPr>
                    <w:lastRenderedPageBreak/>
                    <w:t>Wetland and Waterbirds [A999] M</w:t>
                  </w:r>
                </w:p>
                <w:p w14:paraId="6F142522" w14:textId="77777777" w:rsidR="003C1F99" w:rsidRPr="009246FF" w:rsidRDefault="003C1F99" w:rsidP="00FC4C21">
                  <w:pPr>
                    <w:jc w:val="both"/>
                    <w:rPr>
                      <w:rFonts w:ascii="Arial" w:hAnsi="Arial" w:cs="Arial"/>
                      <w:color w:val="000000"/>
                      <w:shd w:val="clear" w:color="auto" w:fill="FFFFFF"/>
                    </w:rPr>
                  </w:pPr>
                </w:p>
                <w:p w14:paraId="303A5ACF" w14:textId="1330AE76" w:rsidR="007D27D6" w:rsidRPr="009246FF" w:rsidRDefault="007D27D6" w:rsidP="00FC4C21">
                  <w:pPr>
                    <w:jc w:val="both"/>
                    <w:rPr>
                      <w:rFonts w:ascii="Arial" w:hAnsi="Arial" w:cs="Arial"/>
                    </w:rPr>
                  </w:pPr>
                </w:p>
              </w:tc>
            </w:tr>
            <w:tr w:rsidR="00316330" w:rsidRPr="009246FF" w14:paraId="60CC9C0A" w14:textId="77777777" w:rsidTr="00467300">
              <w:tc>
                <w:tcPr>
                  <w:tcW w:w="8841" w:type="dxa"/>
                  <w:gridSpan w:val="3"/>
                  <w:shd w:val="clear" w:color="auto" w:fill="D9D9D9" w:themeFill="background1" w:themeFillShade="D9"/>
                </w:tcPr>
                <w:p w14:paraId="1888E981" w14:textId="189E5EC2" w:rsidR="00316330" w:rsidRPr="009246FF" w:rsidRDefault="00316330" w:rsidP="00C41A2E">
                  <w:pPr>
                    <w:pStyle w:val="NoSpacing"/>
                    <w:rPr>
                      <w:rFonts w:ascii="Arial" w:hAnsi="Arial" w:cs="Arial"/>
                    </w:rPr>
                  </w:pPr>
                  <w:r w:rsidRPr="009246FF">
                    <w:rPr>
                      <w:rFonts w:ascii="Arial" w:hAnsi="Arial" w:cs="Arial"/>
                      <w:b/>
                      <w:bCs/>
                    </w:rPr>
                    <w:lastRenderedPageBreak/>
                    <w:t>Lower River Shannon SAC (002165) – Located Directly Adjacent to Site</w:t>
                  </w:r>
                </w:p>
                <w:p w14:paraId="5772B175" w14:textId="77777777" w:rsidR="00316330" w:rsidRPr="009246FF" w:rsidRDefault="00000000" w:rsidP="00316330">
                  <w:pPr>
                    <w:pStyle w:val="NoSpacing"/>
                    <w:rPr>
                      <w:rFonts w:ascii="Arial" w:hAnsi="Arial" w:cs="Arial"/>
                      <w:b/>
                      <w:bCs/>
                    </w:rPr>
                  </w:pPr>
                  <w:hyperlink r:id="rId14" w:history="1">
                    <w:r w:rsidR="00316330" w:rsidRPr="009246FF">
                      <w:rPr>
                        <w:rStyle w:val="Hyperlink"/>
                        <w:rFonts w:ascii="Arial" w:hAnsi="Arial" w:cs="Arial"/>
                      </w:rPr>
                      <w:t>Lower River Shannon SAC | National Parks &amp; Wildlife Service (npws.ie)</w:t>
                    </w:r>
                  </w:hyperlink>
                </w:p>
                <w:p w14:paraId="2DAB324B" w14:textId="77777777" w:rsidR="00342FE9" w:rsidRPr="009246FF" w:rsidRDefault="00342FE9" w:rsidP="00342FE9">
                  <w:pPr>
                    <w:jc w:val="both"/>
                    <w:rPr>
                      <w:rFonts w:ascii="Arial" w:hAnsi="Arial" w:cs="Arial"/>
                      <w:lang w:val="en-US"/>
                    </w:rPr>
                  </w:pPr>
                  <w:r w:rsidRPr="009246FF">
                    <w:rPr>
                      <w:rFonts w:ascii="Arial" w:hAnsi="Arial" w:cs="Arial"/>
                      <w:lang w:val="en-US"/>
                    </w:rPr>
                    <w:t>The SAC is designated for a range of Annex I habitats, mostly marine or coastal in nature, and seven Annex II species, all of which are aquatic except for otter which is terrestrial but relies on freshwater or coastal habitats.  Otter, bottlenose dolphin, Atlantic Salmon and three species of lamprey are likely to be present within the Shannon Estuary immediately north of the site. No evidence of otter was evident on the site.</w:t>
                  </w:r>
                </w:p>
                <w:p w14:paraId="7A4FC1D9" w14:textId="77777777" w:rsidR="00316330" w:rsidRPr="009246FF" w:rsidRDefault="00316330" w:rsidP="00FC4C21">
                  <w:pPr>
                    <w:jc w:val="both"/>
                    <w:rPr>
                      <w:rFonts w:ascii="Arial" w:hAnsi="Arial" w:cs="Arial"/>
                    </w:rPr>
                  </w:pPr>
                </w:p>
              </w:tc>
            </w:tr>
            <w:tr w:rsidR="005A786F" w:rsidRPr="009246FF" w14:paraId="13968232" w14:textId="77777777" w:rsidTr="008C7939">
              <w:tc>
                <w:tcPr>
                  <w:tcW w:w="1020" w:type="dxa"/>
                </w:tcPr>
                <w:p w14:paraId="248B0F5D" w14:textId="6E890A9A" w:rsidR="00303C9E" w:rsidRPr="009246FF" w:rsidRDefault="00303C9E" w:rsidP="00303C9E">
                  <w:pPr>
                    <w:jc w:val="both"/>
                    <w:rPr>
                      <w:rFonts w:ascii="Arial" w:hAnsi="Arial" w:cs="Arial"/>
                      <w:lang w:val="en-US"/>
                    </w:rPr>
                  </w:pPr>
                  <w:r w:rsidRPr="009246FF">
                    <w:rPr>
                      <w:rFonts w:ascii="Arial" w:hAnsi="Arial" w:cs="Arial"/>
                      <w:b/>
                      <w:bCs/>
                      <w:lang w:val="en-US"/>
                    </w:rPr>
                    <w:t>Effect mechanism</w:t>
                  </w:r>
                </w:p>
              </w:tc>
              <w:tc>
                <w:tcPr>
                  <w:tcW w:w="2268" w:type="dxa"/>
                </w:tcPr>
                <w:p w14:paraId="05D93390" w14:textId="1A689961" w:rsidR="00303C9E" w:rsidRPr="009246FF" w:rsidRDefault="00303C9E" w:rsidP="00303C9E">
                  <w:pPr>
                    <w:pStyle w:val="NormalWeb"/>
                    <w:shd w:val="clear" w:color="auto" w:fill="FFFFFF"/>
                    <w:spacing w:before="0" w:beforeAutospacing="0" w:after="180" w:afterAutospacing="0"/>
                    <w:jc w:val="both"/>
                    <w:rPr>
                      <w:rFonts w:ascii="Arial" w:hAnsi="Arial" w:cs="Arial"/>
                      <w:color w:val="000000"/>
                      <w:sz w:val="22"/>
                      <w:szCs w:val="22"/>
                    </w:rPr>
                  </w:pPr>
                  <w:r w:rsidRPr="009246FF">
                    <w:rPr>
                      <w:rFonts w:ascii="Arial" w:hAnsi="Arial" w:cs="Arial"/>
                      <w:b/>
                      <w:bCs/>
                      <w:sz w:val="22"/>
                      <w:szCs w:val="22"/>
                      <w:lang w:val="en-US"/>
                    </w:rPr>
                    <w:t xml:space="preserve">Impact pathway/Zone of influence </w:t>
                  </w:r>
                </w:p>
              </w:tc>
              <w:tc>
                <w:tcPr>
                  <w:tcW w:w="5553" w:type="dxa"/>
                </w:tcPr>
                <w:p w14:paraId="0B3F39BB" w14:textId="10F71053" w:rsidR="00303C9E" w:rsidRPr="009246FF" w:rsidRDefault="00303C9E" w:rsidP="00303C9E">
                  <w:pPr>
                    <w:jc w:val="both"/>
                    <w:rPr>
                      <w:rFonts w:ascii="Arial" w:hAnsi="Arial" w:cs="Arial"/>
                    </w:rPr>
                  </w:pPr>
                  <w:r w:rsidRPr="009246FF">
                    <w:rPr>
                      <w:rFonts w:ascii="Arial" w:hAnsi="Arial" w:cs="Arial"/>
                      <w:b/>
                      <w:bCs/>
                      <w:lang w:val="en-US"/>
                    </w:rPr>
                    <w:t>Qualifying interest features at risk</w:t>
                  </w:r>
                </w:p>
              </w:tc>
            </w:tr>
            <w:tr w:rsidR="005A786F" w:rsidRPr="009246FF" w14:paraId="50ED07E1" w14:textId="77777777" w:rsidTr="008C7939">
              <w:tc>
                <w:tcPr>
                  <w:tcW w:w="1020" w:type="dxa"/>
                </w:tcPr>
                <w:p w14:paraId="3E2F3C1E" w14:textId="77777777" w:rsidR="00E7074A" w:rsidRPr="009246FF" w:rsidRDefault="00EA20F8" w:rsidP="00303C9E">
                  <w:pPr>
                    <w:jc w:val="both"/>
                    <w:rPr>
                      <w:rFonts w:ascii="Arial" w:hAnsi="Arial" w:cs="Arial"/>
                      <w:lang w:val="en-US"/>
                    </w:rPr>
                  </w:pPr>
                  <w:r w:rsidRPr="009246FF">
                    <w:rPr>
                      <w:rFonts w:ascii="Arial" w:hAnsi="Arial" w:cs="Arial"/>
                      <w:lang w:val="en-US"/>
                    </w:rPr>
                    <w:t>A. Noise and</w:t>
                  </w:r>
                  <w:r w:rsidR="008C3842" w:rsidRPr="009246FF">
                    <w:rPr>
                      <w:rFonts w:ascii="Arial" w:hAnsi="Arial" w:cs="Arial"/>
                      <w:lang w:val="en-US"/>
                    </w:rPr>
                    <w:t xml:space="preserve"> Vibration</w:t>
                  </w:r>
                  <w:r w:rsidRPr="009246FF">
                    <w:rPr>
                      <w:rFonts w:ascii="Arial" w:hAnsi="Arial" w:cs="Arial"/>
                      <w:lang w:val="en-US"/>
                    </w:rPr>
                    <w:t xml:space="preserve"> Disturbance for Dolphins</w:t>
                  </w:r>
                  <w:r w:rsidR="008C3842" w:rsidRPr="009246FF">
                    <w:rPr>
                      <w:rFonts w:ascii="Arial" w:hAnsi="Arial" w:cs="Arial"/>
                      <w:lang w:val="en-US"/>
                    </w:rPr>
                    <w:t>,</w:t>
                  </w:r>
                  <w:r w:rsidR="006F3163" w:rsidRPr="009246FF">
                    <w:rPr>
                      <w:rFonts w:ascii="Arial" w:hAnsi="Arial" w:cs="Arial"/>
                      <w:lang w:val="en-US"/>
                    </w:rPr>
                    <w:t xml:space="preserve"> </w:t>
                  </w:r>
                  <w:proofErr w:type="gramStart"/>
                  <w:r w:rsidR="006F3163" w:rsidRPr="009246FF">
                    <w:rPr>
                      <w:rFonts w:ascii="Arial" w:hAnsi="Arial" w:cs="Arial"/>
                      <w:lang w:val="en-US"/>
                    </w:rPr>
                    <w:t>Salmon</w:t>
                  </w:r>
                  <w:proofErr w:type="gramEnd"/>
                  <w:r w:rsidR="006F3163" w:rsidRPr="009246FF">
                    <w:rPr>
                      <w:rFonts w:ascii="Arial" w:hAnsi="Arial" w:cs="Arial"/>
                      <w:lang w:val="en-US"/>
                    </w:rPr>
                    <w:t xml:space="preserve"> and Lamprey species</w:t>
                  </w:r>
                  <w:r w:rsidR="008C3842" w:rsidRPr="009246FF">
                    <w:rPr>
                      <w:rFonts w:ascii="Arial" w:hAnsi="Arial" w:cs="Arial"/>
                      <w:lang w:val="en-US"/>
                    </w:rPr>
                    <w:t xml:space="preserve"> </w:t>
                  </w:r>
                  <w:r w:rsidRPr="009246FF">
                    <w:rPr>
                      <w:rFonts w:ascii="Arial" w:hAnsi="Arial" w:cs="Arial"/>
                      <w:lang w:val="en-US"/>
                    </w:rPr>
                    <w:t>from Piling Works during Construction</w:t>
                  </w:r>
                </w:p>
                <w:p w14:paraId="7BBCC340" w14:textId="77777777" w:rsidR="003A700A" w:rsidRPr="009246FF" w:rsidRDefault="003A700A" w:rsidP="00303C9E">
                  <w:pPr>
                    <w:jc w:val="both"/>
                    <w:rPr>
                      <w:rFonts w:ascii="Arial" w:hAnsi="Arial" w:cs="Arial"/>
                      <w:lang w:val="en-US"/>
                    </w:rPr>
                  </w:pPr>
                </w:p>
                <w:p w14:paraId="35A306C1" w14:textId="77777777" w:rsidR="003A700A" w:rsidRPr="009246FF" w:rsidRDefault="003A700A" w:rsidP="00303C9E">
                  <w:pPr>
                    <w:jc w:val="both"/>
                    <w:rPr>
                      <w:rFonts w:ascii="Arial" w:hAnsi="Arial" w:cs="Arial"/>
                      <w:lang w:val="en-US"/>
                    </w:rPr>
                  </w:pPr>
                  <w:r w:rsidRPr="009246FF">
                    <w:rPr>
                      <w:rFonts w:ascii="Arial" w:hAnsi="Arial" w:cs="Arial"/>
                      <w:lang w:val="en-US"/>
                    </w:rPr>
                    <w:t xml:space="preserve">B. Contaminated surface water run-off reaching intertidal or estuarine </w:t>
                  </w:r>
                  <w:proofErr w:type="gramStart"/>
                  <w:r w:rsidRPr="009246FF">
                    <w:rPr>
                      <w:rFonts w:ascii="Arial" w:hAnsi="Arial" w:cs="Arial"/>
                      <w:lang w:val="en-US"/>
                    </w:rPr>
                    <w:t>habitats</w:t>
                  </w:r>
                  <w:proofErr w:type="gramEnd"/>
                </w:p>
                <w:p w14:paraId="1B57F3DD" w14:textId="77777777" w:rsidR="00E411AC" w:rsidRPr="009246FF" w:rsidRDefault="00E411AC" w:rsidP="00303C9E">
                  <w:pPr>
                    <w:jc w:val="both"/>
                    <w:rPr>
                      <w:rFonts w:ascii="Arial" w:hAnsi="Arial" w:cs="Arial"/>
                      <w:lang w:val="en-US"/>
                    </w:rPr>
                  </w:pPr>
                </w:p>
                <w:p w14:paraId="57B95149" w14:textId="7FBD3FD7" w:rsidR="00E411AC" w:rsidRPr="009246FF" w:rsidRDefault="00E411AC" w:rsidP="00303C9E">
                  <w:pPr>
                    <w:jc w:val="both"/>
                    <w:rPr>
                      <w:rFonts w:ascii="Arial" w:hAnsi="Arial" w:cs="Arial"/>
                      <w:lang w:val="en-US"/>
                    </w:rPr>
                  </w:pPr>
                  <w:r w:rsidRPr="009246FF">
                    <w:rPr>
                      <w:rFonts w:ascii="Arial" w:hAnsi="Arial" w:cs="Arial"/>
                      <w:lang w:val="en-US"/>
                    </w:rPr>
                    <w:t xml:space="preserve">C.  </w:t>
                  </w:r>
                  <w:r w:rsidR="00862ED3" w:rsidRPr="009246FF">
                    <w:rPr>
                      <w:rFonts w:ascii="Arial" w:hAnsi="Arial" w:cs="Arial"/>
                      <w:lang w:val="en-US"/>
                    </w:rPr>
                    <w:t>Wastewater</w:t>
                  </w:r>
                  <w:r w:rsidRPr="009246FF">
                    <w:rPr>
                      <w:rFonts w:ascii="Arial" w:hAnsi="Arial" w:cs="Arial"/>
                      <w:lang w:val="en-US"/>
                    </w:rPr>
                    <w:t xml:space="preserve"> discharges</w:t>
                  </w:r>
                  <w:r w:rsidR="001D3F89" w:rsidRPr="009246FF">
                    <w:rPr>
                      <w:rFonts w:ascii="Arial" w:hAnsi="Arial" w:cs="Arial"/>
                      <w:lang w:val="en-US"/>
                    </w:rPr>
                    <w:t xml:space="preserve"> during operation works</w:t>
                  </w:r>
                </w:p>
              </w:tc>
              <w:tc>
                <w:tcPr>
                  <w:tcW w:w="2268" w:type="dxa"/>
                </w:tcPr>
                <w:p w14:paraId="7B703435" w14:textId="62621E51" w:rsidR="00E7074A" w:rsidRPr="009246FF" w:rsidRDefault="00441653" w:rsidP="00303C9E">
                  <w:pPr>
                    <w:pStyle w:val="NormalWeb"/>
                    <w:shd w:val="clear" w:color="auto" w:fill="FFFFFF"/>
                    <w:spacing w:before="0" w:beforeAutospacing="0" w:after="180" w:afterAutospacing="0"/>
                    <w:jc w:val="both"/>
                    <w:rPr>
                      <w:rFonts w:ascii="Arial" w:hAnsi="Arial" w:cs="Arial"/>
                      <w:b/>
                      <w:bCs/>
                      <w:sz w:val="22"/>
                      <w:szCs w:val="22"/>
                      <w:lang w:val="en-US"/>
                    </w:rPr>
                  </w:pPr>
                  <w:r w:rsidRPr="009246FF">
                    <w:rPr>
                      <w:rFonts w:ascii="Arial" w:hAnsi="Arial" w:cs="Arial"/>
                      <w:sz w:val="22"/>
                      <w:szCs w:val="22"/>
                    </w:rPr>
                    <w:t>0km – Directly adjacent to the boundary of the Site</w:t>
                  </w:r>
                </w:p>
              </w:tc>
              <w:tc>
                <w:tcPr>
                  <w:tcW w:w="5553" w:type="dxa"/>
                </w:tcPr>
                <w:p w14:paraId="4AC734A1" w14:textId="77777777" w:rsidR="00441653" w:rsidRPr="009246FF" w:rsidRDefault="00441653" w:rsidP="00441653">
                  <w:pPr>
                    <w:jc w:val="both"/>
                    <w:rPr>
                      <w:rFonts w:ascii="Arial" w:hAnsi="Arial" w:cs="Arial"/>
                    </w:rPr>
                  </w:pPr>
                  <w:r w:rsidRPr="009246FF">
                    <w:rPr>
                      <w:rFonts w:ascii="Arial" w:hAnsi="Arial" w:cs="Arial"/>
                    </w:rPr>
                    <w:t>Sandbanks slightly covered by seawater all the time (1110)</w:t>
                  </w:r>
                  <w:r w:rsidRPr="009246FF">
                    <w:rPr>
                      <w:rFonts w:ascii="Arial" w:hAnsi="Arial" w:cs="Arial"/>
                      <w:b/>
                      <w:bCs/>
                    </w:rPr>
                    <w:t xml:space="preserve"> </w:t>
                  </w:r>
                  <w:proofErr w:type="gramStart"/>
                  <w:r w:rsidRPr="009246FF">
                    <w:rPr>
                      <w:rFonts w:ascii="Arial" w:hAnsi="Arial" w:cs="Arial"/>
                      <w:b/>
                      <w:bCs/>
                    </w:rPr>
                    <w:t>M</w:t>
                  </w:r>
                  <w:proofErr w:type="gramEnd"/>
                </w:p>
                <w:p w14:paraId="573AD483" w14:textId="77777777" w:rsidR="00441653" w:rsidRPr="009246FF" w:rsidRDefault="00441653" w:rsidP="00441653">
                  <w:pPr>
                    <w:jc w:val="both"/>
                    <w:rPr>
                      <w:rFonts w:ascii="Arial" w:hAnsi="Arial" w:cs="Arial"/>
                    </w:rPr>
                  </w:pPr>
                  <w:r w:rsidRPr="009246FF">
                    <w:rPr>
                      <w:rFonts w:ascii="Arial" w:hAnsi="Arial" w:cs="Arial"/>
                    </w:rPr>
                    <w:t>Estuaries (1130</w:t>
                  </w:r>
                  <w:r w:rsidRPr="009246FF">
                    <w:rPr>
                      <w:rFonts w:ascii="Arial" w:hAnsi="Arial" w:cs="Arial"/>
                      <w:b/>
                      <w:bCs/>
                    </w:rPr>
                    <w:t>) M</w:t>
                  </w:r>
                </w:p>
                <w:p w14:paraId="06F77F22" w14:textId="77777777" w:rsidR="00441653" w:rsidRPr="009246FF" w:rsidRDefault="00441653" w:rsidP="00441653">
                  <w:pPr>
                    <w:jc w:val="both"/>
                    <w:rPr>
                      <w:rFonts w:ascii="Arial" w:hAnsi="Arial" w:cs="Arial"/>
                    </w:rPr>
                  </w:pPr>
                  <w:r w:rsidRPr="009246FF">
                    <w:rPr>
                      <w:rFonts w:ascii="Arial" w:hAnsi="Arial" w:cs="Arial"/>
                    </w:rPr>
                    <w:t>Mudflats and sandflats not covered by seawater at low tide (1140)</w:t>
                  </w:r>
                  <w:r w:rsidRPr="009246FF">
                    <w:rPr>
                      <w:rFonts w:ascii="Arial" w:hAnsi="Arial" w:cs="Arial"/>
                      <w:b/>
                      <w:bCs/>
                    </w:rPr>
                    <w:t xml:space="preserve"> </w:t>
                  </w:r>
                  <w:proofErr w:type="gramStart"/>
                  <w:r w:rsidRPr="009246FF">
                    <w:rPr>
                      <w:rFonts w:ascii="Arial" w:hAnsi="Arial" w:cs="Arial"/>
                      <w:b/>
                      <w:bCs/>
                    </w:rPr>
                    <w:t>M</w:t>
                  </w:r>
                  <w:proofErr w:type="gramEnd"/>
                </w:p>
                <w:p w14:paraId="5FD4F126" w14:textId="77777777" w:rsidR="00441653" w:rsidRPr="009246FF" w:rsidRDefault="00441653" w:rsidP="00441653">
                  <w:pPr>
                    <w:jc w:val="both"/>
                    <w:rPr>
                      <w:rFonts w:ascii="Arial" w:hAnsi="Arial" w:cs="Arial"/>
                    </w:rPr>
                  </w:pPr>
                  <w:r w:rsidRPr="009246FF">
                    <w:rPr>
                      <w:rFonts w:ascii="Arial" w:hAnsi="Arial" w:cs="Arial"/>
                    </w:rPr>
                    <w:t xml:space="preserve">Coastal lagoons (1150) </w:t>
                  </w:r>
                  <w:r w:rsidRPr="009246FF">
                    <w:rPr>
                      <w:rFonts w:ascii="Arial" w:hAnsi="Arial" w:cs="Arial"/>
                      <w:b/>
                      <w:bCs/>
                    </w:rPr>
                    <w:t>R</w:t>
                  </w:r>
                </w:p>
                <w:p w14:paraId="073428AF" w14:textId="77777777" w:rsidR="00441653" w:rsidRPr="009246FF" w:rsidRDefault="00441653" w:rsidP="00441653">
                  <w:pPr>
                    <w:jc w:val="both"/>
                    <w:rPr>
                      <w:rFonts w:ascii="Arial" w:hAnsi="Arial" w:cs="Arial"/>
                    </w:rPr>
                  </w:pPr>
                  <w:r w:rsidRPr="009246FF">
                    <w:rPr>
                      <w:rFonts w:ascii="Arial" w:hAnsi="Arial" w:cs="Arial"/>
                    </w:rPr>
                    <w:t xml:space="preserve">Large shallow inlets and bays (1160) </w:t>
                  </w:r>
                  <w:r w:rsidRPr="009246FF">
                    <w:rPr>
                      <w:rFonts w:ascii="Arial" w:hAnsi="Arial" w:cs="Arial"/>
                      <w:b/>
                      <w:bCs/>
                    </w:rPr>
                    <w:t>M</w:t>
                  </w:r>
                </w:p>
                <w:p w14:paraId="770967EF" w14:textId="77777777" w:rsidR="00441653" w:rsidRPr="009246FF" w:rsidRDefault="00441653" w:rsidP="00441653">
                  <w:pPr>
                    <w:jc w:val="both"/>
                    <w:rPr>
                      <w:rFonts w:ascii="Arial" w:hAnsi="Arial" w:cs="Arial"/>
                    </w:rPr>
                  </w:pPr>
                  <w:r w:rsidRPr="009246FF">
                    <w:rPr>
                      <w:rFonts w:ascii="Arial" w:hAnsi="Arial" w:cs="Arial"/>
                    </w:rPr>
                    <w:t>Reefs (1170)</w:t>
                  </w:r>
                  <w:r w:rsidRPr="009246FF">
                    <w:rPr>
                      <w:rFonts w:ascii="Arial" w:hAnsi="Arial" w:cs="Arial"/>
                      <w:b/>
                      <w:bCs/>
                    </w:rPr>
                    <w:t xml:space="preserve"> M</w:t>
                  </w:r>
                </w:p>
                <w:p w14:paraId="3EE53C07" w14:textId="77777777" w:rsidR="00441653" w:rsidRPr="009246FF" w:rsidRDefault="00441653" w:rsidP="00441653">
                  <w:pPr>
                    <w:jc w:val="both"/>
                    <w:rPr>
                      <w:rFonts w:ascii="Arial" w:hAnsi="Arial" w:cs="Arial"/>
                    </w:rPr>
                  </w:pPr>
                  <w:proofErr w:type="spellStart"/>
                  <w:r w:rsidRPr="009246FF">
                    <w:rPr>
                      <w:rFonts w:ascii="Arial" w:hAnsi="Arial" w:cs="Arial"/>
                    </w:rPr>
                    <w:t>Perrennial</w:t>
                  </w:r>
                  <w:proofErr w:type="spellEnd"/>
                  <w:r w:rsidRPr="009246FF">
                    <w:rPr>
                      <w:rFonts w:ascii="Arial" w:hAnsi="Arial" w:cs="Arial"/>
                    </w:rPr>
                    <w:t xml:space="preserve"> vegetation of stony banks (1220) </w:t>
                  </w:r>
                  <w:r w:rsidRPr="009246FF">
                    <w:rPr>
                      <w:rFonts w:ascii="Arial" w:hAnsi="Arial" w:cs="Arial"/>
                      <w:b/>
                      <w:bCs/>
                    </w:rPr>
                    <w:t>M</w:t>
                  </w:r>
                </w:p>
                <w:p w14:paraId="7B3CAA49" w14:textId="77777777" w:rsidR="00441653" w:rsidRPr="009246FF" w:rsidRDefault="00441653" w:rsidP="00441653">
                  <w:pPr>
                    <w:jc w:val="both"/>
                    <w:rPr>
                      <w:rFonts w:ascii="Arial" w:hAnsi="Arial" w:cs="Arial"/>
                    </w:rPr>
                  </w:pPr>
                  <w:r w:rsidRPr="009246FF">
                    <w:rPr>
                      <w:rFonts w:ascii="Arial" w:hAnsi="Arial" w:cs="Arial"/>
                    </w:rPr>
                    <w:t xml:space="preserve">Vegetated sea cliffs of Atlantic and Baltic Coasts (1230) </w:t>
                  </w:r>
                  <w:r w:rsidRPr="009246FF">
                    <w:rPr>
                      <w:rFonts w:ascii="Arial" w:hAnsi="Arial" w:cs="Arial"/>
                      <w:b/>
                      <w:bCs/>
                    </w:rPr>
                    <w:t>M</w:t>
                  </w:r>
                </w:p>
                <w:p w14:paraId="615DB93D" w14:textId="77777777" w:rsidR="00441653" w:rsidRPr="009246FF" w:rsidRDefault="00441653" w:rsidP="00441653">
                  <w:pPr>
                    <w:jc w:val="both"/>
                    <w:rPr>
                      <w:rFonts w:ascii="Arial" w:hAnsi="Arial" w:cs="Arial"/>
                    </w:rPr>
                  </w:pPr>
                  <w:r w:rsidRPr="009246FF">
                    <w:rPr>
                      <w:rFonts w:ascii="Arial" w:hAnsi="Arial" w:cs="Arial"/>
                    </w:rPr>
                    <w:t xml:space="preserve">Salicornia and annuals colonising mud &amp; sand (1310) </w:t>
                  </w:r>
                  <w:proofErr w:type="gramStart"/>
                  <w:r w:rsidRPr="009246FF">
                    <w:rPr>
                      <w:rFonts w:ascii="Arial" w:hAnsi="Arial" w:cs="Arial"/>
                      <w:b/>
                      <w:bCs/>
                    </w:rPr>
                    <w:t>M</w:t>
                  </w:r>
                  <w:proofErr w:type="gramEnd"/>
                </w:p>
                <w:p w14:paraId="639849C7" w14:textId="77777777" w:rsidR="00441653" w:rsidRPr="009246FF" w:rsidRDefault="00441653" w:rsidP="00441653">
                  <w:pPr>
                    <w:jc w:val="both"/>
                    <w:rPr>
                      <w:rFonts w:ascii="Arial" w:hAnsi="Arial" w:cs="Arial"/>
                    </w:rPr>
                  </w:pPr>
                  <w:r w:rsidRPr="009246FF">
                    <w:rPr>
                      <w:rFonts w:ascii="Arial" w:hAnsi="Arial" w:cs="Arial"/>
                    </w:rPr>
                    <w:t xml:space="preserve">Atlantic salt meadows (1330) </w:t>
                  </w:r>
                  <w:r w:rsidRPr="009246FF">
                    <w:rPr>
                      <w:rFonts w:ascii="Arial" w:hAnsi="Arial" w:cs="Arial"/>
                      <w:b/>
                      <w:bCs/>
                    </w:rPr>
                    <w:t>R</w:t>
                  </w:r>
                </w:p>
                <w:p w14:paraId="6453315B" w14:textId="77777777" w:rsidR="00441653" w:rsidRPr="009246FF" w:rsidRDefault="00441653" w:rsidP="00441653">
                  <w:pPr>
                    <w:jc w:val="both"/>
                    <w:rPr>
                      <w:rFonts w:ascii="Arial" w:hAnsi="Arial" w:cs="Arial"/>
                    </w:rPr>
                  </w:pPr>
                  <w:r w:rsidRPr="009246FF">
                    <w:rPr>
                      <w:rFonts w:ascii="Arial" w:hAnsi="Arial" w:cs="Arial"/>
                    </w:rPr>
                    <w:t xml:space="preserve">Mediterranean salt meadows (1410) </w:t>
                  </w:r>
                  <w:r w:rsidRPr="009246FF">
                    <w:rPr>
                      <w:rFonts w:ascii="Arial" w:hAnsi="Arial" w:cs="Arial"/>
                      <w:b/>
                      <w:bCs/>
                    </w:rPr>
                    <w:t>R</w:t>
                  </w:r>
                </w:p>
                <w:p w14:paraId="669956A2" w14:textId="77777777" w:rsidR="00441653" w:rsidRPr="009246FF" w:rsidRDefault="00441653" w:rsidP="00441653">
                  <w:pPr>
                    <w:jc w:val="both"/>
                    <w:rPr>
                      <w:rFonts w:ascii="Arial" w:hAnsi="Arial" w:cs="Arial"/>
                    </w:rPr>
                  </w:pPr>
                  <w:r w:rsidRPr="009246FF">
                    <w:rPr>
                      <w:rFonts w:ascii="Arial" w:hAnsi="Arial" w:cs="Arial"/>
                    </w:rPr>
                    <w:t xml:space="preserve">Water courses of plain to montane levels (3260) </w:t>
                  </w:r>
                  <w:r w:rsidRPr="009246FF">
                    <w:rPr>
                      <w:rFonts w:ascii="Arial" w:hAnsi="Arial" w:cs="Arial"/>
                      <w:b/>
                      <w:bCs/>
                    </w:rPr>
                    <w:t>M</w:t>
                  </w:r>
                </w:p>
                <w:p w14:paraId="239D783E" w14:textId="77777777" w:rsidR="00441653" w:rsidRPr="009246FF" w:rsidRDefault="00441653" w:rsidP="00441653">
                  <w:pPr>
                    <w:jc w:val="both"/>
                    <w:rPr>
                      <w:rFonts w:ascii="Arial" w:hAnsi="Arial" w:cs="Arial"/>
                    </w:rPr>
                  </w:pPr>
                  <w:r w:rsidRPr="009246FF">
                    <w:rPr>
                      <w:rFonts w:ascii="Arial" w:hAnsi="Arial" w:cs="Arial"/>
                    </w:rPr>
                    <w:t xml:space="preserve">Molinia meadows on calcareous, </w:t>
                  </w:r>
                  <w:proofErr w:type="gramStart"/>
                  <w:r w:rsidRPr="009246FF">
                    <w:rPr>
                      <w:rFonts w:ascii="Arial" w:hAnsi="Arial" w:cs="Arial"/>
                    </w:rPr>
                    <w:t>peaty</w:t>
                  </w:r>
                  <w:proofErr w:type="gramEnd"/>
                  <w:r w:rsidRPr="009246FF">
                    <w:rPr>
                      <w:rFonts w:ascii="Arial" w:hAnsi="Arial" w:cs="Arial"/>
                    </w:rPr>
                    <w:t xml:space="preserve"> or clayey-silt-laden soil (6410)</w:t>
                  </w:r>
                  <w:r w:rsidRPr="009246FF">
                    <w:rPr>
                      <w:rFonts w:ascii="Arial" w:hAnsi="Arial" w:cs="Arial"/>
                      <w:b/>
                      <w:bCs/>
                    </w:rPr>
                    <w:t xml:space="preserve"> M</w:t>
                  </w:r>
                </w:p>
                <w:p w14:paraId="6B1AB1DF" w14:textId="77777777" w:rsidR="00441653" w:rsidRPr="00A34008" w:rsidRDefault="00441653" w:rsidP="00441653">
                  <w:pPr>
                    <w:jc w:val="both"/>
                    <w:rPr>
                      <w:rFonts w:ascii="Arial" w:hAnsi="Arial" w:cs="Arial"/>
                      <w:lang w:val="it-IT"/>
                    </w:rPr>
                  </w:pPr>
                  <w:r w:rsidRPr="00A34008">
                    <w:rPr>
                      <w:rFonts w:ascii="Arial" w:hAnsi="Arial" w:cs="Arial"/>
                      <w:lang w:val="it-IT"/>
                    </w:rPr>
                    <w:t xml:space="preserve">Alluvial forests (91E0) </w:t>
                  </w:r>
                  <w:r w:rsidRPr="00A34008">
                    <w:rPr>
                      <w:rFonts w:ascii="Arial" w:hAnsi="Arial" w:cs="Arial"/>
                      <w:b/>
                      <w:bCs/>
                      <w:lang w:val="it-IT"/>
                    </w:rPr>
                    <w:t>M</w:t>
                  </w:r>
                </w:p>
                <w:p w14:paraId="7A269F8F" w14:textId="77777777" w:rsidR="00441653" w:rsidRPr="00A34008" w:rsidRDefault="00441653" w:rsidP="00441653">
                  <w:pPr>
                    <w:jc w:val="both"/>
                    <w:rPr>
                      <w:rFonts w:ascii="Arial" w:hAnsi="Arial" w:cs="Arial"/>
                      <w:lang w:val="it-IT"/>
                    </w:rPr>
                  </w:pPr>
                  <w:r w:rsidRPr="00A34008">
                    <w:rPr>
                      <w:rFonts w:ascii="Arial" w:hAnsi="Arial" w:cs="Arial"/>
                      <w:lang w:val="it-IT"/>
                    </w:rPr>
                    <w:t>Freshwater Pearl Mussel Margaritifera margaritifera (1029)</w:t>
                  </w:r>
                  <w:r w:rsidRPr="00A34008">
                    <w:rPr>
                      <w:rFonts w:ascii="Arial" w:hAnsi="Arial" w:cs="Arial"/>
                      <w:b/>
                      <w:bCs/>
                      <w:lang w:val="it-IT"/>
                    </w:rPr>
                    <w:t xml:space="preserve"> R</w:t>
                  </w:r>
                </w:p>
                <w:p w14:paraId="36C4325A" w14:textId="77777777" w:rsidR="00441653" w:rsidRPr="009246FF" w:rsidRDefault="00441653" w:rsidP="00441653">
                  <w:pPr>
                    <w:jc w:val="both"/>
                    <w:rPr>
                      <w:rFonts w:ascii="Arial" w:hAnsi="Arial" w:cs="Arial"/>
                    </w:rPr>
                  </w:pPr>
                  <w:r w:rsidRPr="009246FF">
                    <w:rPr>
                      <w:rFonts w:ascii="Arial" w:hAnsi="Arial" w:cs="Arial"/>
                    </w:rPr>
                    <w:t xml:space="preserve">Sea Lamprey Petromyzon marinus (1095) </w:t>
                  </w:r>
                  <w:r w:rsidRPr="009246FF">
                    <w:rPr>
                      <w:rFonts w:ascii="Arial" w:hAnsi="Arial" w:cs="Arial"/>
                      <w:b/>
                      <w:bCs/>
                    </w:rPr>
                    <w:t>R</w:t>
                  </w:r>
                </w:p>
                <w:p w14:paraId="1FCC74D9" w14:textId="77777777" w:rsidR="00441653" w:rsidRPr="009246FF" w:rsidRDefault="00441653" w:rsidP="00441653">
                  <w:pPr>
                    <w:jc w:val="both"/>
                    <w:rPr>
                      <w:rFonts w:ascii="Arial" w:hAnsi="Arial" w:cs="Arial"/>
                    </w:rPr>
                  </w:pPr>
                  <w:r w:rsidRPr="009246FF">
                    <w:rPr>
                      <w:rFonts w:ascii="Arial" w:hAnsi="Arial" w:cs="Arial"/>
                    </w:rPr>
                    <w:t>Brook Lamprey Lampetra planeri (1096)</w:t>
                  </w:r>
                  <w:r w:rsidRPr="009246FF">
                    <w:rPr>
                      <w:rFonts w:ascii="Arial" w:hAnsi="Arial" w:cs="Arial"/>
                      <w:b/>
                      <w:bCs/>
                    </w:rPr>
                    <w:t xml:space="preserve"> M</w:t>
                  </w:r>
                </w:p>
                <w:p w14:paraId="01AB6D9F" w14:textId="77777777" w:rsidR="00441653" w:rsidRPr="009246FF" w:rsidRDefault="00441653" w:rsidP="00441653">
                  <w:pPr>
                    <w:jc w:val="both"/>
                    <w:rPr>
                      <w:rFonts w:ascii="Arial" w:hAnsi="Arial" w:cs="Arial"/>
                    </w:rPr>
                  </w:pPr>
                  <w:r w:rsidRPr="009246FF">
                    <w:rPr>
                      <w:rFonts w:ascii="Arial" w:hAnsi="Arial" w:cs="Arial"/>
                    </w:rPr>
                    <w:t>River Lamprey Lampetra fluviatilis (1099)</w:t>
                  </w:r>
                  <w:r w:rsidRPr="009246FF">
                    <w:rPr>
                      <w:rFonts w:ascii="Arial" w:hAnsi="Arial" w:cs="Arial"/>
                      <w:b/>
                      <w:bCs/>
                    </w:rPr>
                    <w:t xml:space="preserve"> M</w:t>
                  </w:r>
                </w:p>
                <w:p w14:paraId="28991680" w14:textId="77777777" w:rsidR="00441653" w:rsidRPr="009246FF" w:rsidRDefault="00441653" w:rsidP="00441653">
                  <w:pPr>
                    <w:jc w:val="both"/>
                    <w:rPr>
                      <w:rFonts w:ascii="Arial" w:hAnsi="Arial" w:cs="Arial"/>
                    </w:rPr>
                  </w:pPr>
                  <w:r w:rsidRPr="009246FF">
                    <w:rPr>
                      <w:rFonts w:ascii="Arial" w:hAnsi="Arial" w:cs="Arial"/>
                    </w:rPr>
                    <w:t xml:space="preserve">Atlantic Salmon (fresh water) Salmo salar (1106) </w:t>
                  </w:r>
                  <w:r w:rsidRPr="009246FF">
                    <w:rPr>
                      <w:rFonts w:ascii="Arial" w:hAnsi="Arial" w:cs="Arial"/>
                      <w:b/>
                      <w:bCs/>
                    </w:rPr>
                    <w:t>R</w:t>
                  </w:r>
                </w:p>
                <w:p w14:paraId="1400E6A6" w14:textId="77777777" w:rsidR="00441653" w:rsidRPr="009246FF" w:rsidRDefault="00441653" w:rsidP="00441653">
                  <w:pPr>
                    <w:jc w:val="both"/>
                    <w:rPr>
                      <w:rFonts w:ascii="Arial" w:hAnsi="Arial" w:cs="Arial"/>
                    </w:rPr>
                  </w:pPr>
                  <w:r w:rsidRPr="009246FF">
                    <w:rPr>
                      <w:rFonts w:ascii="Arial" w:hAnsi="Arial" w:cs="Arial"/>
                    </w:rPr>
                    <w:t xml:space="preserve">Bottlenose Dolphin Tursiops </w:t>
                  </w:r>
                  <w:proofErr w:type="spellStart"/>
                  <w:r w:rsidRPr="009246FF">
                    <w:rPr>
                      <w:rFonts w:ascii="Arial" w:hAnsi="Arial" w:cs="Arial"/>
                    </w:rPr>
                    <w:t>truncatus</w:t>
                  </w:r>
                  <w:proofErr w:type="spellEnd"/>
                  <w:r w:rsidRPr="009246FF">
                    <w:rPr>
                      <w:rFonts w:ascii="Arial" w:hAnsi="Arial" w:cs="Arial"/>
                    </w:rPr>
                    <w:t xml:space="preserve"> (1349) </w:t>
                  </w:r>
                  <w:r w:rsidRPr="009246FF">
                    <w:rPr>
                      <w:rFonts w:ascii="Arial" w:hAnsi="Arial" w:cs="Arial"/>
                      <w:b/>
                      <w:bCs/>
                    </w:rPr>
                    <w:t>M</w:t>
                  </w:r>
                </w:p>
                <w:p w14:paraId="1BE590B4" w14:textId="019D36FD" w:rsidR="00E7074A" w:rsidRPr="009246FF" w:rsidRDefault="00441653" w:rsidP="00441653">
                  <w:pPr>
                    <w:jc w:val="both"/>
                    <w:rPr>
                      <w:rFonts w:ascii="Arial" w:hAnsi="Arial" w:cs="Arial"/>
                    </w:rPr>
                  </w:pPr>
                  <w:r w:rsidRPr="009246FF">
                    <w:rPr>
                      <w:rFonts w:ascii="Arial" w:hAnsi="Arial" w:cs="Arial"/>
                    </w:rPr>
                    <w:t xml:space="preserve">Otter Lutra </w:t>
                  </w:r>
                  <w:proofErr w:type="spellStart"/>
                  <w:r w:rsidRPr="009246FF">
                    <w:rPr>
                      <w:rFonts w:ascii="Arial" w:hAnsi="Arial" w:cs="Arial"/>
                    </w:rPr>
                    <w:t>lutra</w:t>
                  </w:r>
                  <w:proofErr w:type="spellEnd"/>
                  <w:r w:rsidRPr="009246FF">
                    <w:rPr>
                      <w:rFonts w:ascii="Arial" w:hAnsi="Arial" w:cs="Arial"/>
                    </w:rPr>
                    <w:t xml:space="preserve"> (1355)</w:t>
                  </w:r>
                  <w:r w:rsidRPr="009246FF">
                    <w:rPr>
                      <w:rFonts w:ascii="Arial" w:hAnsi="Arial" w:cs="Arial"/>
                      <w:b/>
                      <w:bCs/>
                    </w:rPr>
                    <w:t xml:space="preserve"> R</w:t>
                  </w:r>
                </w:p>
              </w:tc>
            </w:tr>
            <w:tr w:rsidR="00583FEA" w:rsidRPr="009246FF" w14:paraId="73F8819F" w14:textId="77777777" w:rsidTr="00467300">
              <w:tc>
                <w:tcPr>
                  <w:tcW w:w="8841" w:type="dxa"/>
                  <w:gridSpan w:val="3"/>
                  <w:shd w:val="clear" w:color="auto" w:fill="D9D9D9" w:themeFill="background1" w:themeFillShade="D9"/>
                </w:tcPr>
                <w:p w14:paraId="3C4B3C98" w14:textId="3FD3C753" w:rsidR="00583FEA" w:rsidRPr="009246FF" w:rsidRDefault="00583FEA" w:rsidP="00583FEA">
                  <w:pPr>
                    <w:pStyle w:val="NoSpacing"/>
                    <w:jc w:val="both"/>
                    <w:rPr>
                      <w:rFonts w:ascii="Arial" w:hAnsi="Arial" w:cs="Arial"/>
                      <w:b/>
                      <w:bCs/>
                    </w:rPr>
                  </w:pPr>
                  <w:r w:rsidRPr="009246FF">
                    <w:rPr>
                      <w:rFonts w:ascii="Arial" w:hAnsi="Arial" w:cs="Arial"/>
                      <w:b/>
                      <w:bCs/>
                    </w:rPr>
                    <w:t xml:space="preserve">Stack’s to Mullaghareirk Mountains, West Limerick Hills and Mount Eagle SPA (004161) – Located c.6.6km south-east from </w:t>
                  </w:r>
                  <w:proofErr w:type="gramStart"/>
                  <w:r w:rsidRPr="009246FF">
                    <w:rPr>
                      <w:rFonts w:ascii="Arial" w:hAnsi="Arial" w:cs="Arial"/>
                      <w:b/>
                      <w:bCs/>
                    </w:rPr>
                    <w:t>Site</w:t>
                  </w:r>
                  <w:proofErr w:type="gramEnd"/>
                </w:p>
                <w:p w14:paraId="2D6054EF" w14:textId="77777777" w:rsidR="00583FEA" w:rsidRPr="009246FF" w:rsidRDefault="00000000" w:rsidP="00583FEA">
                  <w:pPr>
                    <w:pStyle w:val="NoSpacing"/>
                    <w:jc w:val="both"/>
                    <w:rPr>
                      <w:rStyle w:val="Hyperlink"/>
                      <w:rFonts w:ascii="Arial" w:hAnsi="Arial" w:cs="Arial"/>
                    </w:rPr>
                  </w:pPr>
                  <w:hyperlink r:id="rId15" w:history="1">
                    <w:r w:rsidR="00583FEA" w:rsidRPr="009246FF">
                      <w:rPr>
                        <w:rStyle w:val="Hyperlink"/>
                        <w:rFonts w:ascii="Arial" w:hAnsi="Arial" w:cs="Arial"/>
                      </w:rPr>
                      <w:t>Stack's to Mullaghareirk Mountains, West Limerick Hills and Mount Eagle SPA | National Parks &amp; Wildlife Service (npws.ie)</w:t>
                    </w:r>
                  </w:hyperlink>
                </w:p>
                <w:p w14:paraId="199FCC99" w14:textId="77777777" w:rsidR="00F44D6D" w:rsidRPr="009246FF" w:rsidRDefault="00751BFC" w:rsidP="00583FEA">
                  <w:pPr>
                    <w:pStyle w:val="NoSpacing"/>
                    <w:jc w:val="both"/>
                    <w:rPr>
                      <w:rFonts w:ascii="Arial" w:hAnsi="Arial" w:cs="Arial"/>
                    </w:rPr>
                  </w:pPr>
                  <w:r w:rsidRPr="009246FF">
                    <w:rPr>
                      <w:rFonts w:ascii="Arial" w:hAnsi="Arial" w:cs="Arial"/>
                    </w:rPr>
                    <w:t>This SPA is located 6.6km south-east of the Site and is designated for hen harrier. Although a mobile species, hen harrier is unlikely to be present at or near the Site given the lack of suitable habitat, and thus there are no pathways for effect on this species. There is no hydrological connection to this site from the Proposed Development.</w:t>
                  </w:r>
                  <w:r w:rsidR="00402B56" w:rsidRPr="009246FF">
                    <w:rPr>
                      <w:rFonts w:ascii="Arial" w:hAnsi="Arial" w:cs="Arial"/>
                    </w:rPr>
                    <w:t xml:space="preserve">  </w:t>
                  </w:r>
                </w:p>
                <w:p w14:paraId="0DBA5176" w14:textId="77777777" w:rsidR="00F44D6D" w:rsidRPr="009246FF" w:rsidRDefault="00F44D6D" w:rsidP="00583FEA">
                  <w:pPr>
                    <w:pStyle w:val="NoSpacing"/>
                    <w:jc w:val="both"/>
                    <w:rPr>
                      <w:rFonts w:ascii="Arial" w:hAnsi="Arial" w:cs="Arial"/>
                      <w:b/>
                      <w:bCs/>
                    </w:rPr>
                  </w:pPr>
                </w:p>
                <w:p w14:paraId="4E9CC6E1" w14:textId="0996B735" w:rsidR="00751BFC" w:rsidRPr="009246FF" w:rsidRDefault="00402B56" w:rsidP="00583FEA">
                  <w:pPr>
                    <w:pStyle w:val="NoSpacing"/>
                    <w:jc w:val="both"/>
                    <w:rPr>
                      <w:rFonts w:ascii="Arial" w:hAnsi="Arial" w:cs="Arial"/>
                      <w:b/>
                      <w:bCs/>
                    </w:rPr>
                  </w:pPr>
                  <w:r w:rsidRPr="009246FF">
                    <w:rPr>
                      <w:rFonts w:ascii="Arial" w:hAnsi="Arial" w:cs="Arial"/>
                      <w:b/>
                      <w:bCs/>
                    </w:rPr>
                    <w:t xml:space="preserve">SCREENED OUT </w:t>
                  </w:r>
                  <w:r w:rsidR="00F44D6D" w:rsidRPr="009246FF">
                    <w:rPr>
                      <w:rFonts w:ascii="Arial" w:hAnsi="Arial" w:cs="Arial"/>
                      <w:b/>
                      <w:bCs/>
                    </w:rPr>
                    <w:t>– N</w:t>
                  </w:r>
                  <w:r w:rsidR="00CC2952" w:rsidRPr="009246FF">
                    <w:rPr>
                      <w:rFonts w:ascii="Arial" w:hAnsi="Arial" w:cs="Arial"/>
                      <w:b/>
                      <w:bCs/>
                    </w:rPr>
                    <w:t>O</w:t>
                  </w:r>
                  <w:r w:rsidR="00F44D6D" w:rsidRPr="009246FF">
                    <w:rPr>
                      <w:rFonts w:ascii="Arial" w:hAnsi="Arial" w:cs="Arial"/>
                      <w:b/>
                      <w:bCs/>
                    </w:rPr>
                    <w:t xml:space="preserve"> LIKELY SIGNIFICANT EFFECTS</w:t>
                  </w:r>
                  <w:r w:rsidR="00815519" w:rsidRPr="009246FF">
                    <w:rPr>
                      <w:rFonts w:ascii="Arial" w:hAnsi="Arial" w:cs="Arial"/>
                      <w:b/>
                      <w:bCs/>
                    </w:rPr>
                    <w:t xml:space="preserve"> DUE TO DISTANCE FROM SPA AND THE LACK OF SUITABLE HABITAT</w:t>
                  </w:r>
                  <w:r w:rsidR="00384E72" w:rsidRPr="009246FF">
                    <w:rPr>
                      <w:rFonts w:ascii="Arial" w:hAnsi="Arial" w:cs="Arial"/>
                      <w:b/>
                      <w:bCs/>
                    </w:rPr>
                    <w:t xml:space="preserve"> FOR THE HEN HARRIER.</w:t>
                  </w:r>
                </w:p>
                <w:p w14:paraId="6FD5B11C" w14:textId="77777777" w:rsidR="00583FEA" w:rsidRPr="009246FF" w:rsidRDefault="00583FEA" w:rsidP="00303C9E">
                  <w:pPr>
                    <w:jc w:val="both"/>
                    <w:rPr>
                      <w:rFonts w:ascii="Arial" w:hAnsi="Arial" w:cs="Arial"/>
                    </w:rPr>
                  </w:pPr>
                </w:p>
              </w:tc>
            </w:tr>
            <w:tr w:rsidR="00A3584E" w:rsidRPr="009246FF" w14:paraId="2BF28709" w14:textId="77777777" w:rsidTr="008C7939">
              <w:tc>
                <w:tcPr>
                  <w:tcW w:w="1020" w:type="dxa"/>
                </w:tcPr>
                <w:p w14:paraId="1DDFE33D" w14:textId="75C1B2B9" w:rsidR="00583FEA" w:rsidRPr="009246FF" w:rsidRDefault="00583FEA" w:rsidP="00583FEA">
                  <w:pPr>
                    <w:jc w:val="both"/>
                    <w:rPr>
                      <w:rFonts w:ascii="Arial" w:hAnsi="Arial" w:cs="Arial"/>
                      <w:b/>
                      <w:bCs/>
                      <w:lang w:val="en-US"/>
                    </w:rPr>
                  </w:pPr>
                  <w:r w:rsidRPr="009246FF">
                    <w:rPr>
                      <w:rFonts w:ascii="Arial" w:hAnsi="Arial" w:cs="Arial"/>
                      <w:b/>
                      <w:bCs/>
                      <w:lang w:val="en-US"/>
                    </w:rPr>
                    <w:lastRenderedPageBreak/>
                    <w:t>Effect mechanism</w:t>
                  </w:r>
                </w:p>
              </w:tc>
              <w:tc>
                <w:tcPr>
                  <w:tcW w:w="2268" w:type="dxa"/>
                </w:tcPr>
                <w:p w14:paraId="311D5FA5" w14:textId="22F24C7C" w:rsidR="00583FEA" w:rsidRPr="009246FF" w:rsidRDefault="00583FEA" w:rsidP="00583FEA">
                  <w:pPr>
                    <w:pStyle w:val="NormalWeb"/>
                    <w:shd w:val="clear" w:color="auto" w:fill="FFFFFF"/>
                    <w:spacing w:before="0" w:beforeAutospacing="0" w:after="180" w:afterAutospacing="0"/>
                    <w:jc w:val="both"/>
                    <w:rPr>
                      <w:rFonts w:ascii="Arial" w:hAnsi="Arial" w:cs="Arial"/>
                      <w:b/>
                      <w:bCs/>
                      <w:sz w:val="22"/>
                      <w:szCs w:val="22"/>
                      <w:lang w:val="en-US"/>
                    </w:rPr>
                  </w:pPr>
                  <w:r w:rsidRPr="009246FF">
                    <w:rPr>
                      <w:rFonts w:ascii="Arial" w:hAnsi="Arial" w:cs="Arial"/>
                      <w:b/>
                      <w:bCs/>
                      <w:sz w:val="22"/>
                      <w:szCs w:val="22"/>
                      <w:lang w:val="en-US"/>
                    </w:rPr>
                    <w:t xml:space="preserve">Impact pathway/Zone of influence </w:t>
                  </w:r>
                </w:p>
              </w:tc>
              <w:tc>
                <w:tcPr>
                  <w:tcW w:w="5553" w:type="dxa"/>
                </w:tcPr>
                <w:p w14:paraId="4EEB1787" w14:textId="446CEC77" w:rsidR="00583FEA" w:rsidRPr="009246FF" w:rsidRDefault="00583FEA" w:rsidP="00583FEA">
                  <w:pPr>
                    <w:jc w:val="both"/>
                    <w:rPr>
                      <w:rFonts w:ascii="Arial" w:hAnsi="Arial" w:cs="Arial"/>
                    </w:rPr>
                  </w:pPr>
                  <w:r w:rsidRPr="009246FF">
                    <w:rPr>
                      <w:rFonts w:ascii="Arial" w:hAnsi="Arial" w:cs="Arial"/>
                      <w:b/>
                      <w:bCs/>
                      <w:lang w:val="en-US"/>
                    </w:rPr>
                    <w:t>Qualifying interest features at risk</w:t>
                  </w:r>
                </w:p>
              </w:tc>
            </w:tr>
            <w:tr w:rsidR="00A3584E" w:rsidRPr="009246FF" w14:paraId="60161E5B" w14:textId="77777777" w:rsidTr="008C7939">
              <w:tc>
                <w:tcPr>
                  <w:tcW w:w="1020" w:type="dxa"/>
                </w:tcPr>
                <w:p w14:paraId="27BC3941" w14:textId="4EB7B4B3" w:rsidR="00441653" w:rsidRPr="009246FF" w:rsidRDefault="00441653" w:rsidP="001E0E97">
                  <w:pPr>
                    <w:pStyle w:val="NoSpacing"/>
                    <w:rPr>
                      <w:rFonts w:ascii="Arial" w:hAnsi="Arial" w:cs="Arial"/>
                      <w:lang w:val="en-US"/>
                    </w:rPr>
                  </w:pPr>
                  <w:r w:rsidRPr="009246FF">
                    <w:rPr>
                      <w:rFonts w:ascii="Arial" w:hAnsi="Arial" w:cs="Arial"/>
                      <w:lang w:val="en-US"/>
                    </w:rPr>
                    <w:t>None</w:t>
                  </w:r>
                  <w:r w:rsidR="00F90524" w:rsidRPr="009246FF">
                    <w:rPr>
                      <w:rFonts w:ascii="Arial" w:hAnsi="Arial" w:cs="Arial"/>
                      <w:lang w:val="en-US"/>
                    </w:rPr>
                    <w:t xml:space="preserve"> – no pathways for effects</w:t>
                  </w:r>
                </w:p>
              </w:tc>
              <w:tc>
                <w:tcPr>
                  <w:tcW w:w="2268" w:type="dxa"/>
                </w:tcPr>
                <w:p w14:paraId="7AED4ACD" w14:textId="6AE1D405" w:rsidR="00583FEA" w:rsidRPr="009246FF" w:rsidRDefault="00461CA0" w:rsidP="001E0E97">
                  <w:pPr>
                    <w:pStyle w:val="NoSpacing"/>
                    <w:rPr>
                      <w:rFonts w:ascii="Arial" w:hAnsi="Arial" w:cs="Arial"/>
                      <w:lang w:val="en-US"/>
                    </w:rPr>
                  </w:pPr>
                  <w:r w:rsidRPr="009246FF">
                    <w:rPr>
                      <w:rFonts w:ascii="Arial" w:hAnsi="Arial" w:cs="Arial"/>
                      <w:lang w:val="en-US"/>
                    </w:rPr>
                    <w:t xml:space="preserve">This SPA is located 6.6km south-east of the Site </w:t>
                  </w:r>
                </w:p>
              </w:tc>
              <w:tc>
                <w:tcPr>
                  <w:tcW w:w="5553" w:type="dxa"/>
                </w:tcPr>
                <w:p w14:paraId="7C5B92A7" w14:textId="5D4A282C" w:rsidR="00583FEA" w:rsidRPr="009246FF" w:rsidRDefault="00461CA0" w:rsidP="001E0E97">
                  <w:pPr>
                    <w:pStyle w:val="NoSpacing"/>
                    <w:rPr>
                      <w:rFonts w:ascii="Arial" w:hAnsi="Arial" w:cs="Arial"/>
                      <w:b/>
                      <w:bCs/>
                    </w:rPr>
                  </w:pPr>
                  <w:r w:rsidRPr="009246FF">
                    <w:rPr>
                      <w:rFonts w:ascii="Arial" w:hAnsi="Arial" w:cs="Arial"/>
                    </w:rPr>
                    <w:t xml:space="preserve">Hen Harrier </w:t>
                  </w:r>
                  <w:r w:rsidRPr="009246FF">
                    <w:rPr>
                      <w:rFonts w:ascii="Arial" w:hAnsi="Arial" w:cs="Arial"/>
                      <w:i/>
                      <w:iCs/>
                    </w:rPr>
                    <w:t xml:space="preserve">Circus cyaneus </w:t>
                  </w:r>
                  <w:r w:rsidRPr="009246FF">
                    <w:rPr>
                      <w:rFonts w:ascii="Arial" w:hAnsi="Arial" w:cs="Arial"/>
                    </w:rPr>
                    <w:t xml:space="preserve">(A082) </w:t>
                  </w:r>
                  <w:r w:rsidRPr="009246FF">
                    <w:rPr>
                      <w:rFonts w:ascii="Arial" w:hAnsi="Arial" w:cs="Arial"/>
                      <w:b/>
                      <w:bCs/>
                    </w:rPr>
                    <w:t>M</w:t>
                  </w:r>
                </w:p>
              </w:tc>
            </w:tr>
            <w:tr w:rsidR="000341FB" w:rsidRPr="009246FF" w14:paraId="638F2FA8" w14:textId="77777777" w:rsidTr="00467300">
              <w:tc>
                <w:tcPr>
                  <w:tcW w:w="8841" w:type="dxa"/>
                  <w:gridSpan w:val="3"/>
                  <w:shd w:val="clear" w:color="auto" w:fill="D9D9D9" w:themeFill="background1" w:themeFillShade="D9"/>
                </w:tcPr>
                <w:p w14:paraId="2C9F6F6E" w14:textId="77777777" w:rsidR="00CA7D0A" w:rsidRPr="009246FF" w:rsidRDefault="00CA7D0A" w:rsidP="001E0E97">
                  <w:pPr>
                    <w:pStyle w:val="NoSpacing"/>
                    <w:rPr>
                      <w:rFonts w:ascii="Arial" w:hAnsi="Arial" w:cs="Arial"/>
                      <w:b/>
                      <w:bCs/>
                    </w:rPr>
                  </w:pPr>
                  <w:r w:rsidRPr="009246FF">
                    <w:rPr>
                      <w:rFonts w:ascii="Arial" w:hAnsi="Arial" w:cs="Arial"/>
                      <w:b/>
                      <w:bCs/>
                    </w:rPr>
                    <w:t>Moanveanlagh Bog SAC [002351]</w:t>
                  </w:r>
                </w:p>
                <w:p w14:paraId="370188FA" w14:textId="77777777" w:rsidR="00AA34F1" w:rsidRPr="009246FF" w:rsidRDefault="00000000" w:rsidP="001E0E97">
                  <w:pPr>
                    <w:pStyle w:val="NoSpacing"/>
                    <w:rPr>
                      <w:rFonts w:ascii="Arial" w:hAnsi="Arial" w:cs="Arial"/>
                    </w:rPr>
                  </w:pPr>
                  <w:hyperlink r:id="rId16" w:history="1">
                    <w:r w:rsidR="00AA34F1" w:rsidRPr="009246FF">
                      <w:rPr>
                        <w:rStyle w:val="Hyperlink"/>
                        <w:rFonts w:ascii="Arial" w:hAnsi="Arial" w:cs="Arial"/>
                      </w:rPr>
                      <w:t>Moanveanlagh Bog SAC | National Parks &amp; Wildlife Service (npws.ie)</w:t>
                    </w:r>
                  </w:hyperlink>
                </w:p>
                <w:p w14:paraId="61D6781B" w14:textId="77777777" w:rsidR="00530AB1" w:rsidRPr="009246FF" w:rsidRDefault="00530AB1" w:rsidP="001E0E97">
                  <w:pPr>
                    <w:pStyle w:val="NoSpacing"/>
                    <w:rPr>
                      <w:rFonts w:ascii="Arial" w:hAnsi="Arial" w:cs="Arial"/>
                    </w:rPr>
                  </w:pPr>
                </w:p>
                <w:p w14:paraId="2437447A" w14:textId="07869942" w:rsidR="00530AB1" w:rsidRPr="009246FF" w:rsidRDefault="00530AB1" w:rsidP="00530AB1">
                  <w:pPr>
                    <w:pStyle w:val="NoSpacing"/>
                    <w:jc w:val="both"/>
                    <w:rPr>
                      <w:rFonts w:ascii="Arial" w:hAnsi="Arial" w:cs="Arial"/>
                    </w:rPr>
                  </w:pPr>
                  <w:r w:rsidRPr="009246FF">
                    <w:rPr>
                      <w:rFonts w:ascii="Arial" w:hAnsi="Arial" w:cs="Arial"/>
                    </w:rPr>
                    <w:t>This SAC is located 13.9km south of the Site and is designated for raised bog habitat. The results of air quality modelling of construction and operational emissions in relation to the Proposed Development indicates that there will be no effect on the raised bog habitats of the SAC, due to the distances involved and the Conservation Objectives of the site will not be compromised. There is no hydrological connection to this site from the Proposed Development.</w:t>
                  </w:r>
                </w:p>
                <w:p w14:paraId="564F30EF" w14:textId="77777777" w:rsidR="000341FB" w:rsidRPr="009246FF" w:rsidRDefault="000341FB" w:rsidP="001E0E97">
                  <w:pPr>
                    <w:pStyle w:val="NoSpacing"/>
                    <w:rPr>
                      <w:rFonts w:ascii="Arial" w:hAnsi="Arial" w:cs="Arial"/>
                      <w:b/>
                      <w:bCs/>
                    </w:rPr>
                  </w:pPr>
                </w:p>
                <w:p w14:paraId="371537E3" w14:textId="13885D53" w:rsidR="000341FB" w:rsidRPr="009246FF" w:rsidRDefault="000341FB" w:rsidP="001E0E97">
                  <w:pPr>
                    <w:pStyle w:val="NoSpacing"/>
                    <w:rPr>
                      <w:rFonts w:ascii="Arial" w:hAnsi="Arial" w:cs="Arial"/>
                      <w:b/>
                      <w:bCs/>
                    </w:rPr>
                  </w:pPr>
                  <w:r w:rsidRPr="009246FF">
                    <w:rPr>
                      <w:rFonts w:ascii="Arial" w:hAnsi="Arial" w:cs="Arial"/>
                      <w:b/>
                      <w:bCs/>
                    </w:rPr>
                    <w:t>SCREENED OUT – NO LIKELY SIGNIFICANT EFFECTS</w:t>
                  </w:r>
                  <w:r w:rsidR="00530AB1" w:rsidRPr="009246FF">
                    <w:rPr>
                      <w:rFonts w:ascii="Arial" w:hAnsi="Arial" w:cs="Arial"/>
                      <w:b/>
                      <w:bCs/>
                    </w:rPr>
                    <w:t xml:space="preserve"> </w:t>
                  </w:r>
                  <w:r w:rsidR="00690A04" w:rsidRPr="009246FF">
                    <w:rPr>
                      <w:rFonts w:ascii="Arial" w:hAnsi="Arial" w:cs="Arial"/>
                      <w:b/>
                      <w:bCs/>
                    </w:rPr>
                    <w:t>DUE TO DISTANCE FROM SAC AND NO DIRECT HYDROLOGICAL CONNECTION TO THE SITE</w:t>
                  </w:r>
                </w:p>
                <w:p w14:paraId="07550436" w14:textId="77777777" w:rsidR="000341FB" w:rsidRPr="009246FF" w:rsidRDefault="000341FB" w:rsidP="001E0E97">
                  <w:pPr>
                    <w:pStyle w:val="NoSpacing"/>
                    <w:rPr>
                      <w:rFonts w:ascii="Arial" w:hAnsi="Arial" w:cs="Arial"/>
                    </w:rPr>
                  </w:pPr>
                </w:p>
              </w:tc>
            </w:tr>
            <w:tr w:rsidR="000341FB" w:rsidRPr="009246FF" w14:paraId="5AB9B89D" w14:textId="77777777" w:rsidTr="008C7939">
              <w:tc>
                <w:tcPr>
                  <w:tcW w:w="1020" w:type="dxa"/>
                </w:tcPr>
                <w:p w14:paraId="6870C98C" w14:textId="440DCAFE" w:rsidR="000341FB" w:rsidRPr="009246FF" w:rsidRDefault="000341FB" w:rsidP="001E0E97">
                  <w:pPr>
                    <w:pStyle w:val="NoSpacing"/>
                    <w:rPr>
                      <w:rFonts w:ascii="Arial" w:hAnsi="Arial" w:cs="Arial"/>
                      <w:lang w:val="en-US"/>
                    </w:rPr>
                  </w:pPr>
                  <w:r w:rsidRPr="009246FF">
                    <w:rPr>
                      <w:rFonts w:ascii="Arial" w:hAnsi="Arial" w:cs="Arial"/>
                      <w:b/>
                      <w:bCs/>
                      <w:lang w:val="en-US"/>
                    </w:rPr>
                    <w:t>Effect mechanism</w:t>
                  </w:r>
                </w:p>
              </w:tc>
              <w:tc>
                <w:tcPr>
                  <w:tcW w:w="2268" w:type="dxa"/>
                </w:tcPr>
                <w:p w14:paraId="49F0F02D" w14:textId="60314FB5" w:rsidR="000341FB" w:rsidRPr="009246FF" w:rsidRDefault="000341FB" w:rsidP="001E0E97">
                  <w:pPr>
                    <w:pStyle w:val="NoSpacing"/>
                    <w:rPr>
                      <w:rFonts w:ascii="Arial" w:hAnsi="Arial" w:cs="Arial"/>
                      <w:lang w:val="en-US"/>
                    </w:rPr>
                  </w:pPr>
                  <w:r w:rsidRPr="009246FF">
                    <w:rPr>
                      <w:rFonts w:ascii="Arial" w:hAnsi="Arial" w:cs="Arial"/>
                      <w:b/>
                      <w:bCs/>
                      <w:lang w:val="en-US"/>
                    </w:rPr>
                    <w:t xml:space="preserve">Impact pathway/Zone of influence </w:t>
                  </w:r>
                </w:p>
              </w:tc>
              <w:tc>
                <w:tcPr>
                  <w:tcW w:w="5553" w:type="dxa"/>
                </w:tcPr>
                <w:p w14:paraId="3B3AD2E7" w14:textId="5ECBBFFF" w:rsidR="000341FB" w:rsidRPr="009246FF" w:rsidRDefault="000341FB" w:rsidP="001E0E97">
                  <w:pPr>
                    <w:pStyle w:val="NoSpacing"/>
                    <w:rPr>
                      <w:rFonts w:ascii="Arial" w:hAnsi="Arial" w:cs="Arial"/>
                    </w:rPr>
                  </w:pPr>
                  <w:r w:rsidRPr="009246FF">
                    <w:rPr>
                      <w:rFonts w:ascii="Arial" w:hAnsi="Arial" w:cs="Arial"/>
                      <w:b/>
                      <w:bCs/>
                      <w:lang w:val="en-US"/>
                    </w:rPr>
                    <w:t>Qualifying interest features at risk</w:t>
                  </w:r>
                </w:p>
              </w:tc>
            </w:tr>
            <w:tr w:rsidR="000341FB" w:rsidRPr="009246FF" w14:paraId="09F08423" w14:textId="77777777" w:rsidTr="008C7939">
              <w:tc>
                <w:tcPr>
                  <w:tcW w:w="1020" w:type="dxa"/>
                </w:tcPr>
                <w:p w14:paraId="0F89E912" w14:textId="4DC5A67D" w:rsidR="000341FB" w:rsidRPr="009246FF" w:rsidRDefault="00584548" w:rsidP="001E0E97">
                  <w:pPr>
                    <w:pStyle w:val="NoSpacing"/>
                    <w:rPr>
                      <w:rFonts w:ascii="Arial" w:hAnsi="Arial" w:cs="Arial"/>
                      <w:lang w:val="en-US"/>
                    </w:rPr>
                  </w:pPr>
                  <w:r w:rsidRPr="009246FF">
                    <w:rPr>
                      <w:rFonts w:ascii="Arial" w:hAnsi="Arial" w:cs="Arial"/>
                      <w:lang w:val="en-US"/>
                    </w:rPr>
                    <w:t>None</w:t>
                  </w:r>
                </w:p>
              </w:tc>
              <w:tc>
                <w:tcPr>
                  <w:tcW w:w="2268" w:type="dxa"/>
                </w:tcPr>
                <w:p w14:paraId="38BF0206" w14:textId="6BFACE27" w:rsidR="000341FB" w:rsidRPr="009246FF" w:rsidRDefault="00E8088F" w:rsidP="001E0E97">
                  <w:pPr>
                    <w:pStyle w:val="NoSpacing"/>
                    <w:rPr>
                      <w:rFonts w:ascii="Arial" w:hAnsi="Arial" w:cs="Arial"/>
                      <w:lang w:val="en-US"/>
                    </w:rPr>
                  </w:pPr>
                  <w:r w:rsidRPr="009246FF">
                    <w:rPr>
                      <w:rFonts w:ascii="Arial" w:hAnsi="Arial" w:cs="Arial"/>
                      <w:lang w:val="en-US"/>
                    </w:rPr>
                    <w:t>13.9km south of the site</w:t>
                  </w:r>
                </w:p>
              </w:tc>
              <w:tc>
                <w:tcPr>
                  <w:tcW w:w="5553" w:type="dxa"/>
                </w:tcPr>
                <w:p w14:paraId="58D50C66" w14:textId="77777777" w:rsidR="000341FB" w:rsidRPr="009246FF" w:rsidRDefault="00FB4302" w:rsidP="001E0E97">
                  <w:pPr>
                    <w:pStyle w:val="NoSpacing"/>
                    <w:rPr>
                      <w:rFonts w:ascii="Arial" w:hAnsi="Arial" w:cs="Arial"/>
                      <w:b/>
                      <w:bCs/>
                    </w:rPr>
                  </w:pPr>
                  <w:r w:rsidRPr="009246FF">
                    <w:rPr>
                      <w:rFonts w:ascii="Arial" w:hAnsi="Arial" w:cs="Arial"/>
                    </w:rPr>
                    <w:t>Active raised bogs</w:t>
                  </w:r>
                  <w:r w:rsidR="00294242" w:rsidRPr="009246FF">
                    <w:rPr>
                      <w:rFonts w:ascii="Arial" w:hAnsi="Arial" w:cs="Arial"/>
                    </w:rPr>
                    <w:t xml:space="preserve"> (7110)</w:t>
                  </w:r>
                  <w:r w:rsidR="00A54A82" w:rsidRPr="009246FF">
                    <w:rPr>
                      <w:rFonts w:ascii="Arial" w:hAnsi="Arial" w:cs="Arial"/>
                    </w:rPr>
                    <w:t xml:space="preserve"> </w:t>
                  </w:r>
                  <w:r w:rsidR="00A54A82" w:rsidRPr="009246FF">
                    <w:rPr>
                      <w:rFonts w:ascii="Arial" w:hAnsi="Arial" w:cs="Arial"/>
                      <w:b/>
                      <w:bCs/>
                    </w:rPr>
                    <w:t>R</w:t>
                  </w:r>
                </w:p>
                <w:p w14:paraId="1B558525" w14:textId="584CD9AA" w:rsidR="00BD7CD9" w:rsidRPr="009246FF" w:rsidRDefault="00BD7CD9" w:rsidP="001E0E97">
                  <w:pPr>
                    <w:pStyle w:val="NoSpacing"/>
                    <w:rPr>
                      <w:rFonts w:ascii="Arial" w:hAnsi="Arial" w:cs="Arial"/>
                    </w:rPr>
                  </w:pPr>
                  <w:r w:rsidRPr="009246FF">
                    <w:rPr>
                      <w:rFonts w:ascii="Arial" w:hAnsi="Arial" w:cs="Arial"/>
                    </w:rPr>
                    <w:t xml:space="preserve">Degraded raised bogs still capable of natural regeneration [7120] </w:t>
                  </w:r>
                  <w:proofErr w:type="gramStart"/>
                  <w:r w:rsidR="00BE632A" w:rsidRPr="009246FF">
                    <w:rPr>
                      <w:rFonts w:ascii="Arial" w:hAnsi="Arial" w:cs="Arial"/>
                      <w:b/>
                      <w:bCs/>
                    </w:rPr>
                    <w:t>R</w:t>
                  </w:r>
                  <w:proofErr w:type="gramEnd"/>
                </w:p>
                <w:p w14:paraId="12BD79A6" w14:textId="1C4C1667" w:rsidR="00BD7CD9" w:rsidRPr="009246FF" w:rsidRDefault="00BD7CD9" w:rsidP="001E0E97">
                  <w:pPr>
                    <w:pStyle w:val="NoSpacing"/>
                    <w:rPr>
                      <w:rFonts w:ascii="Arial" w:hAnsi="Arial" w:cs="Arial"/>
                    </w:rPr>
                  </w:pPr>
                  <w:r w:rsidRPr="009246FF">
                    <w:rPr>
                      <w:rFonts w:ascii="Arial" w:hAnsi="Arial" w:cs="Arial"/>
                    </w:rPr>
                    <w:t>Depressions on peat substrates of the Rhynchosporion [7150]</w:t>
                  </w:r>
                  <w:r w:rsidR="00E43129" w:rsidRPr="009246FF">
                    <w:rPr>
                      <w:rFonts w:ascii="Arial" w:hAnsi="Arial" w:cs="Arial"/>
                    </w:rPr>
                    <w:t xml:space="preserve"> </w:t>
                  </w:r>
                  <w:r w:rsidR="00E43129" w:rsidRPr="009246FF">
                    <w:rPr>
                      <w:rFonts w:ascii="Arial" w:hAnsi="Arial" w:cs="Arial"/>
                      <w:b/>
                      <w:bCs/>
                    </w:rPr>
                    <w:t>R</w:t>
                  </w:r>
                </w:p>
              </w:tc>
            </w:tr>
            <w:tr w:rsidR="0052798E" w:rsidRPr="009246FF" w14:paraId="681C4D14" w14:textId="77777777" w:rsidTr="00584548">
              <w:tc>
                <w:tcPr>
                  <w:tcW w:w="8841" w:type="dxa"/>
                  <w:gridSpan w:val="3"/>
                  <w:shd w:val="clear" w:color="auto" w:fill="D9D9D9" w:themeFill="background1" w:themeFillShade="D9"/>
                </w:tcPr>
                <w:p w14:paraId="1A21D2CF" w14:textId="77777777" w:rsidR="003B1F62" w:rsidRPr="009246FF" w:rsidRDefault="003B1F62" w:rsidP="001E0E97">
                  <w:pPr>
                    <w:pStyle w:val="NoSpacing"/>
                    <w:rPr>
                      <w:rFonts w:ascii="Arial" w:hAnsi="Arial" w:cs="Arial"/>
                      <w:b/>
                      <w:bCs/>
                    </w:rPr>
                  </w:pPr>
                  <w:r w:rsidRPr="009246FF">
                    <w:rPr>
                      <w:rFonts w:ascii="Arial" w:hAnsi="Arial" w:cs="Arial"/>
                      <w:b/>
                      <w:bCs/>
                    </w:rPr>
                    <w:t xml:space="preserve">Blasket Islands SAC [002172] </w:t>
                  </w:r>
                </w:p>
                <w:p w14:paraId="3AB15D04" w14:textId="4E5289ED" w:rsidR="0052798E" w:rsidRPr="009246FF" w:rsidRDefault="00000000" w:rsidP="001E0E97">
                  <w:pPr>
                    <w:pStyle w:val="NoSpacing"/>
                    <w:rPr>
                      <w:rFonts w:ascii="Arial" w:hAnsi="Arial" w:cs="Arial"/>
                    </w:rPr>
                  </w:pPr>
                  <w:hyperlink r:id="rId17" w:history="1">
                    <w:r w:rsidR="00E40A29" w:rsidRPr="009246FF">
                      <w:rPr>
                        <w:rStyle w:val="Hyperlink"/>
                        <w:rFonts w:ascii="Arial" w:hAnsi="Arial" w:cs="Arial"/>
                      </w:rPr>
                      <w:t>Blasket Islands SAC | National Parks &amp; Wildlife Service (npws.ie)</w:t>
                    </w:r>
                  </w:hyperlink>
                </w:p>
                <w:p w14:paraId="0723B9DE" w14:textId="77777777" w:rsidR="00B32379" w:rsidRPr="009246FF" w:rsidRDefault="00B32379" w:rsidP="001E0E97">
                  <w:pPr>
                    <w:pStyle w:val="NoSpacing"/>
                    <w:rPr>
                      <w:rFonts w:ascii="Arial" w:hAnsi="Arial" w:cs="Arial"/>
                    </w:rPr>
                  </w:pPr>
                </w:p>
                <w:p w14:paraId="5104C17A" w14:textId="59A1C224" w:rsidR="00B32379" w:rsidRPr="009246FF" w:rsidRDefault="00B32379" w:rsidP="00A12FBE">
                  <w:pPr>
                    <w:pStyle w:val="NoSpacing"/>
                    <w:jc w:val="both"/>
                    <w:rPr>
                      <w:rFonts w:ascii="Arial" w:hAnsi="Arial" w:cs="Arial"/>
                    </w:rPr>
                  </w:pPr>
                  <w:r w:rsidRPr="009246FF">
                    <w:rPr>
                      <w:rFonts w:ascii="Arial" w:hAnsi="Arial" w:cs="Arial"/>
                    </w:rPr>
                    <w:t xml:space="preserve">Although grey seal is a mobile selection feature of Blasket Islands SAC, the Shannon Estuary does not appear to be regularly used by grey seal, and only several individuals have been recorded during the past three surveys (Cronin et al. 2003; Morris and Duck, 2019). Therefore, any noise arising from the construction works will not have a significant effect on the SAC population of Blasket Islands SAC. Vibrations do not propagate well through the ground and are generally attenuated quickly, typically within 20-50m from the vibration source. </w:t>
                  </w:r>
                </w:p>
                <w:p w14:paraId="414A3ACB" w14:textId="77777777" w:rsidR="0052798E" w:rsidRPr="009246FF" w:rsidRDefault="0052798E" w:rsidP="001E0E97">
                  <w:pPr>
                    <w:pStyle w:val="NoSpacing"/>
                    <w:rPr>
                      <w:rFonts w:ascii="Arial" w:hAnsi="Arial" w:cs="Arial"/>
                      <w:b/>
                      <w:bCs/>
                    </w:rPr>
                  </w:pPr>
                </w:p>
                <w:p w14:paraId="476065A9" w14:textId="77777777" w:rsidR="00C1201C" w:rsidRPr="009246FF" w:rsidRDefault="00C1201C" w:rsidP="00C1201C">
                  <w:pPr>
                    <w:pStyle w:val="NoSpacing"/>
                    <w:rPr>
                      <w:rFonts w:ascii="Arial" w:hAnsi="Arial" w:cs="Arial"/>
                      <w:b/>
                      <w:bCs/>
                    </w:rPr>
                  </w:pPr>
                  <w:r w:rsidRPr="009246FF">
                    <w:rPr>
                      <w:rFonts w:ascii="Arial" w:hAnsi="Arial" w:cs="Arial"/>
                      <w:b/>
                      <w:bCs/>
                    </w:rPr>
                    <w:t>SCREENED OUT – NO LIKELY SIGNIFICANT EFFECTS DUE TO DISTANCE FROM SAC</w:t>
                  </w:r>
                </w:p>
                <w:p w14:paraId="64FA0EF2" w14:textId="77777777" w:rsidR="0052798E" w:rsidRPr="009246FF" w:rsidRDefault="0052798E" w:rsidP="001E0E97">
                  <w:pPr>
                    <w:pStyle w:val="NoSpacing"/>
                    <w:rPr>
                      <w:rFonts w:ascii="Arial" w:hAnsi="Arial" w:cs="Arial"/>
                    </w:rPr>
                  </w:pPr>
                </w:p>
              </w:tc>
            </w:tr>
            <w:tr w:rsidR="00C54702" w:rsidRPr="009246FF" w14:paraId="31C9C8A2" w14:textId="77777777" w:rsidTr="008C7939">
              <w:tc>
                <w:tcPr>
                  <w:tcW w:w="1020" w:type="dxa"/>
                </w:tcPr>
                <w:p w14:paraId="1F6CF65F" w14:textId="6E02DC54" w:rsidR="00C54702" w:rsidRPr="009246FF" w:rsidRDefault="00C54702" w:rsidP="001E0E97">
                  <w:pPr>
                    <w:pStyle w:val="NoSpacing"/>
                    <w:rPr>
                      <w:rFonts w:ascii="Arial" w:hAnsi="Arial" w:cs="Arial"/>
                      <w:lang w:val="en-US"/>
                    </w:rPr>
                  </w:pPr>
                  <w:r w:rsidRPr="009246FF">
                    <w:rPr>
                      <w:rFonts w:ascii="Arial" w:hAnsi="Arial" w:cs="Arial"/>
                      <w:b/>
                      <w:bCs/>
                      <w:lang w:val="en-US"/>
                    </w:rPr>
                    <w:t>Effect mechanism</w:t>
                  </w:r>
                </w:p>
              </w:tc>
              <w:tc>
                <w:tcPr>
                  <w:tcW w:w="2268" w:type="dxa"/>
                </w:tcPr>
                <w:p w14:paraId="32345449" w14:textId="7ECB6F88" w:rsidR="00C54702" w:rsidRPr="009246FF" w:rsidRDefault="00C54702" w:rsidP="001E0E97">
                  <w:pPr>
                    <w:pStyle w:val="NoSpacing"/>
                    <w:rPr>
                      <w:rFonts w:ascii="Arial" w:hAnsi="Arial" w:cs="Arial"/>
                      <w:lang w:val="en-US"/>
                    </w:rPr>
                  </w:pPr>
                  <w:r w:rsidRPr="009246FF">
                    <w:rPr>
                      <w:rFonts w:ascii="Arial" w:hAnsi="Arial" w:cs="Arial"/>
                      <w:b/>
                      <w:bCs/>
                      <w:lang w:val="en-US"/>
                    </w:rPr>
                    <w:t xml:space="preserve">Impact pathway/Zone of influence </w:t>
                  </w:r>
                </w:p>
              </w:tc>
              <w:tc>
                <w:tcPr>
                  <w:tcW w:w="5553" w:type="dxa"/>
                </w:tcPr>
                <w:p w14:paraId="1C9240B9" w14:textId="5D82BFB2" w:rsidR="00C54702" w:rsidRPr="009246FF" w:rsidRDefault="00C54702" w:rsidP="001E0E97">
                  <w:pPr>
                    <w:pStyle w:val="NoSpacing"/>
                    <w:rPr>
                      <w:rFonts w:ascii="Arial" w:hAnsi="Arial" w:cs="Arial"/>
                    </w:rPr>
                  </w:pPr>
                  <w:r w:rsidRPr="009246FF">
                    <w:rPr>
                      <w:rFonts w:ascii="Arial" w:hAnsi="Arial" w:cs="Arial"/>
                      <w:b/>
                      <w:bCs/>
                      <w:lang w:val="en-US"/>
                    </w:rPr>
                    <w:t>Qualifying interest features at risk</w:t>
                  </w:r>
                </w:p>
              </w:tc>
            </w:tr>
            <w:tr w:rsidR="00C54702" w:rsidRPr="009246FF" w14:paraId="2D6AE36D" w14:textId="77777777" w:rsidTr="008C7939">
              <w:tc>
                <w:tcPr>
                  <w:tcW w:w="1020" w:type="dxa"/>
                </w:tcPr>
                <w:p w14:paraId="55A4995E" w14:textId="5867356C" w:rsidR="00C54702" w:rsidRPr="009246FF" w:rsidRDefault="00584548" w:rsidP="001E0E97">
                  <w:pPr>
                    <w:pStyle w:val="NoSpacing"/>
                    <w:rPr>
                      <w:rFonts w:ascii="Arial" w:hAnsi="Arial" w:cs="Arial"/>
                      <w:lang w:val="en-US"/>
                    </w:rPr>
                  </w:pPr>
                  <w:r w:rsidRPr="009246FF">
                    <w:rPr>
                      <w:rFonts w:ascii="Arial" w:hAnsi="Arial" w:cs="Arial"/>
                      <w:lang w:val="en-US"/>
                    </w:rPr>
                    <w:t>None</w:t>
                  </w:r>
                </w:p>
              </w:tc>
              <w:tc>
                <w:tcPr>
                  <w:tcW w:w="2268" w:type="dxa"/>
                </w:tcPr>
                <w:p w14:paraId="269C85BD" w14:textId="5CF86E9E" w:rsidR="00C54702" w:rsidRPr="009246FF" w:rsidRDefault="00584548" w:rsidP="001E0E97">
                  <w:pPr>
                    <w:pStyle w:val="NoSpacing"/>
                    <w:rPr>
                      <w:rFonts w:ascii="Arial" w:hAnsi="Arial" w:cs="Arial"/>
                      <w:lang w:val="en-US"/>
                    </w:rPr>
                  </w:pPr>
                  <w:r w:rsidRPr="009246FF">
                    <w:rPr>
                      <w:rFonts w:ascii="Arial" w:hAnsi="Arial" w:cs="Arial"/>
                      <w:lang w:val="en-US"/>
                    </w:rPr>
                    <w:t>89km south-west, 95km hydrological connection</w:t>
                  </w:r>
                </w:p>
              </w:tc>
              <w:tc>
                <w:tcPr>
                  <w:tcW w:w="5553" w:type="dxa"/>
                </w:tcPr>
                <w:p w14:paraId="1227A89E" w14:textId="08480855" w:rsidR="00584548" w:rsidRPr="009246FF" w:rsidRDefault="00584548" w:rsidP="001E0E97">
                  <w:pPr>
                    <w:pStyle w:val="NoSpacing"/>
                    <w:rPr>
                      <w:rFonts w:ascii="Arial" w:hAnsi="Arial" w:cs="Arial"/>
                      <w:color w:val="000000"/>
                    </w:rPr>
                  </w:pPr>
                  <w:r w:rsidRPr="009246FF">
                    <w:rPr>
                      <w:rFonts w:ascii="Arial" w:hAnsi="Arial" w:cs="Arial"/>
                      <w:color w:val="000000"/>
                    </w:rPr>
                    <w:t>Reefs [1170]</w:t>
                  </w:r>
                  <w:r w:rsidR="00DC0FF0" w:rsidRPr="009246FF">
                    <w:rPr>
                      <w:rFonts w:ascii="Arial" w:hAnsi="Arial" w:cs="Arial"/>
                      <w:color w:val="000000"/>
                    </w:rPr>
                    <w:t xml:space="preserve"> </w:t>
                  </w:r>
                  <w:r w:rsidR="00DC0FF0" w:rsidRPr="009246FF">
                    <w:rPr>
                      <w:rFonts w:ascii="Arial" w:hAnsi="Arial" w:cs="Arial"/>
                      <w:b/>
                      <w:bCs/>
                    </w:rPr>
                    <w:t>M</w:t>
                  </w:r>
                </w:p>
                <w:p w14:paraId="167C69B4" w14:textId="1357D166" w:rsidR="00584548" w:rsidRPr="009246FF" w:rsidRDefault="00584548" w:rsidP="001E0E97">
                  <w:pPr>
                    <w:pStyle w:val="NoSpacing"/>
                    <w:rPr>
                      <w:rFonts w:ascii="Arial" w:hAnsi="Arial" w:cs="Arial"/>
                      <w:color w:val="000000"/>
                    </w:rPr>
                  </w:pPr>
                  <w:r w:rsidRPr="009246FF">
                    <w:rPr>
                      <w:rFonts w:ascii="Arial" w:hAnsi="Arial" w:cs="Arial"/>
                      <w:color w:val="000000"/>
                    </w:rPr>
                    <w:t>Vegetated sea cliffs of the Atlantic and Baltic coasts [1230]</w:t>
                  </w:r>
                  <w:r w:rsidR="00DC0FF0" w:rsidRPr="009246FF">
                    <w:rPr>
                      <w:rFonts w:ascii="Arial" w:hAnsi="Arial" w:cs="Arial"/>
                      <w:color w:val="000000"/>
                    </w:rPr>
                    <w:t xml:space="preserve"> </w:t>
                  </w:r>
                  <w:r w:rsidR="00DC0FF0" w:rsidRPr="009246FF">
                    <w:rPr>
                      <w:rFonts w:ascii="Arial" w:hAnsi="Arial" w:cs="Arial"/>
                      <w:b/>
                      <w:bCs/>
                    </w:rPr>
                    <w:t>R</w:t>
                  </w:r>
                </w:p>
                <w:p w14:paraId="3DEFC9A0" w14:textId="310B471F" w:rsidR="00584548" w:rsidRPr="009246FF" w:rsidRDefault="00584548" w:rsidP="001E0E97">
                  <w:pPr>
                    <w:pStyle w:val="NoSpacing"/>
                    <w:rPr>
                      <w:rFonts w:ascii="Arial" w:hAnsi="Arial" w:cs="Arial"/>
                      <w:color w:val="000000"/>
                    </w:rPr>
                  </w:pPr>
                  <w:r w:rsidRPr="009246FF">
                    <w:rPr>
                      <w:rFonts w:ascii="Arial" w:hAnsi="Arial" w:cs="Arial"/>
                      <w:color w:val="000000"/>
                    </w:rPr>
                    <w:t>European dry heaths [4030]</w:t>
                  </w:r>
                  <w:r w:rsidR="00553298" w:rsidRPr="009246FF">
                    <w:rPr>
                      <w:rFonts w:ascii="Arial" w:hAnsi="Arial" w:cs="Arial"/>
                      <w:color w:val="000000"/>
                    </w:rPr>
                    <w:t xml:space="preserve"> </w:t>
                  </w:r>
                  <w:r w:rsidR="00553298" w:rsidRPr="009246FF">
                    <w:rPr>
                      <w:rFonts w:ascii="Arial" w:hAnsi="Arial" w:cs="Arial"/>
                      <w:b/>
                      <w:bCs/>
                    </w:rPr>
                    <w:t>M</w:t>
                  </w:r>
                </w:p>
                <w:p w14:paraId="3316D18C" w14:textId="53CE642F" w:rsidR="00584548" w:rsidRPr="009246FF" w:rsidRDefault="00584548" w:rsidP="001E0E97">
                  <w:pPr>
                    <w:pStyle w:val="NoSpacing"/>
                    <w:rPr>
                      <w:rFonts w:ascii="Arial" w:hAnsi="Arial" w:cs="Arial"/>
                      <w:color w:val="000000"/>
                    </w:rPr>
                  </w:pPr>
                  <w:r w:rsidRPr="009246FF">
                    <w:rPr>
                      <w:rFonts w:ascii="Arial" w:hAnsi="Arial" w:cs="Arial"/>
                      <w:color w:val="000000"/>
                    </w:rPr>
                    <w:t>Submerged or partially submerged sea caves [8330]</w:t>
                  </w:r>
                  <w:r w:rsidR="00553298" w:rsidRPr="009246FF">
                    <w:rPr>
                      <w:rFonts w:ascii="Arial" w:hAnsi="Arial" w:cs="Arial"/>
                      <w:color w:val="000000"/>
                    </w:rPr>
                    <w:t xml:space="preserve"> </w:t>
                  </w:r>
                  <w:proofErr w:type="gramStart"/>
                  <w:r w:rsidR="00553298" w:rsidRPr="009246FF">
                    <w:rPr>
                      <w:rFonts w:ascii="Arial" w:hAnsi="Arial" w:cs="Arial"/>
                      <w:b/>
                      <w:bCs/>
                    </w:rPr>
                    <w:t>M</w:t>
                  </w:r>
                  <w:proofErr w:type="gramEnd"/>
                </w:p>
                <w:p w14:paraId="0D71BA35" w14:textId="2CC0AA97" w:rsidR="00584548" w:rsidRPr="009246FF" w:rsidRDefault="00584548" w:rsidP="001E0E97">
                  <w:pPr>
                    <w:pStyle w:val="NoSpacing"/>
                    <w:rPr>
                      <w:rFonts w:ascii="Arial" w:hAnsi="Arial" w:cs="Arial"/>
                      <w:color w:val="000000"/>
                    </w:rPr>
                  </w:pPr>
                  <w:r w:rsidRPr="009246FF">
                    <w:rPr>
                      <w:rFonts w:ascii="Arial" w:hAnsi="Arial" w:cs="Arial"/>
                      <w:color w:val="000000"/>
                    </w:rPr>
                    <w:t xml:space="preserve">Phocoena </w:t>
                  </w:r>
                  <w:proofErr w:type="spellStart"/>
                  <w:r w:rsidRPr="009246FF">
                    <w:rPr>
                      <w:rFonts w:ascii="Arial" w:hAnsi="Arial" w:cs="Arial"/>
                      <w:color w:val="000000"/>
                    </w:rPr>
                    <w:t>phocoena</w:t>
                  </w:r>
                  <w:proofErr w:type="spellEnd"/>
                  <w:r w:rsidRPr="009246FF">
                    <w:rPr>
                      <w:rFonts w:ascii="Arial" w:hAnsi="Arial" w:cs="Arial"/>
                      <w:color w:val="000000"/>
                    </w:rPr>
                    <w:t xml:space="preserve"> (Harbour Porpoise) [1351]</w:t>
                  </w:r>
                  <w:r w:rsidR="00553298" w:rsidRPr="009246FF">
                    <w:rPr>
                      <w:rFonts w:ascii="Arial" w:hAnsi="Arial" w:cs="Arial"/>
                      <w:color w:val="000000"/>
                    </w:rPr>
                    <w:t xml:space="preserve"> </w:t>
                  </w:r>
                  <w:r w:rsidR="00553298" w:rsidRPr="009246FF">
                    <w:rPr>
                      <w:rFonts w:ascii="Arial" w:hAnsi="Arial" w:cs="Arial"/>
                      <w:b/>
                      <w:bCs/>
                    </w:rPr>
                    <w:t>M</w:t>
                  </w:r>
                </w:p>
                <w:p w14:paraId="37479D18" w14:textId="77777777" w:rsidR="00C54702" w:rsidRPr="009246FF" w:rsidRDefault="00584548" w:rsidP="001E0E97">
                  <w:pPr>
                    <w:pStyle w:val="NoSpacing"/>
                    <w:rPr>
                      <w:rFonts w:ascii="Arial" w:hAnsi="Arial" w:cs="Arial"/>
                      <w:b/>
                      <w:bCs/>
                    </w:rPr>
                  </w:pPr>
                  <w:r w:rsidRPr="009246FF">
                    <w:rPr>
                      <w:rFonts w:ascii="Arial" w:hAnsi="Arial" w:cs="Arial"/>
                      <w:color w:val="000000"/>
                    </w:rPr>
                    <w:lastRenderedPageBreak/>
                    <w:t xml:space="preserve">Halichoerus </w:t>
                  </w:r>
                  <w:proofErr w:type="spellStart"/>
                  <w:r w:rsidRPr="009246FF">
                    <w:rPr>
                      <w:rFonts w:ascii="Arial" w:hAnsi="Arial" w:cs="Arial"/>
                      <w:color w:val="000000"/>
                    </w:rPr>
                    <w:t>grypus</w:t>
                  </w:r>
                  <w:proofErr w:type="spellEnd"/>
                  <w:r w:rsidRPr="009246FF">
                    <w:rPr>
                      <w:rFonts w:ascii="Arial" w:hAnsi="Arial" w:cs="Arial"/>
                      <w:color w:val="000000"/>
                    </w:rPr>
                    <w:t xml:space="preserve"> (Grey Seal) [1364]</w:t>
                  </w:r>
                  <w:r w:rsidR="001E0E97" w:rsidRPr="009246FF">
                    <w:rPr>
                      <w:rFonts w:ascii="Arial" w:hAnsi="Arial" w:cs="Arial"/>
                      <w:color w:val="000000"/>
                    </w:rPr>
                    <w:t xml:space="preserve"> </w:t>
                  </w:r>
                  <w:r w:rsidR="001E0E97" w:rsidRPr="009246FF">
                    <w:rPr>
                      <w:rFonts w:ascii="Arial" w:hAnsi="Arial" w:cs="Arial"/>
                      <w:b/>
                      <w:bCs/>
                    </w:rPr>
                    <w:t>M</w:t>
                  </w:r>
                </w:p>
                <w:p w14:paraId="4742701E" w14:textId="77777777" w:rsidR="00B76794" w:rsidRPr="009246FF" w:rsidRDefault="00B76794" w:rsidP="001E0E97">
                  <w:pPr>
                    <w:pStyle w:val="NoSpacing"/>
                    <w:rPr>
                      <w:rFonts w:ascii="Arial" w:hAnsi="Arial" w:cs="Arial"/>
                      <w:color w:val="000000"/>
                    </w:rPr>
                  </w:pPr>
                </w:p>
                <w:p w14:paraId="5DC36E4A" w14:textId="364BE7B9" w:rsidR="00B76794" w:rsidRPr="009246FF" w:rsidRDefault="00B76794" w:rsidP="001E0E97">
                  <w:pPr>
                    <w:pStyle w:val="NoSpacing"/>
                    <w:rPr>
                      <w:rFonts w:ascii="Arial" w:hAnsi="Arial" w:cs="Arial"/>
                      <w:color w:val="000000"/>
                    </w:rPr>
                  </w:pPr>
                </w:p>
              </w:tc>
            </w:tr>
            <w:tr w:rsidR="0052798E" w:rsidRPr="009246FF" w14:paraId="2D026427" w14:textId="77777777" w:rsidTr="00584548">
              <w:tc>
                <w:tcPr>
                  <w:tcW w:w="8841" w:type="dxa"/>
                  <w:gridSpan w:val="3"/>
                  <w:shd w:val="clear" w:color="auto" w:fill="D9D9D9" w:themeFill="background1" w:themeFillShade="D9"/>
                </w:tcPr>
                <w:p w14:paraId="125A4478" w14:textId="7939B4A3" w:rsidR="0052798E" w:rsidRPr="009246FF" w:rsidRDefault="00CB6286" w:rsidP="001E0E97">
                  <w:pPr>
                    <w:pStyle w:val="NoSpacing"/>
                    <w:rPr>
                      <w:rFonts w:ascii="Arial" w:hAnsi="Arial" w:cs="Arial"/>
                      <w:b/>
                      <w:bCs/>
                    </w:rPr>
                  </w:pPr>
                  <w:r w:rsidRPr="009246FF">
                    <w:rPr>
                      <w:rFonts w:ascii="Arial" w:hAnsi="Arial" w:cs="Arial"/>
                      <w:b/>
                      <w:bCs/>
                    </w:rPr>
                    <w:lastRenderedPageBreak/>
                    <w:t>Kilkieran Bay and Islands SAC [002111]</w:t>
                  </w:r>
                </w:p>
                <w:p w14:paraId="4F5EB763" w14:textId="3F006834" w:rsidR="0052798E" w:rsidRPr="009246FF" w:rsidRDefault="00000000" w:rsidP="001E0E97">
                  <w:pPr>
                    <w:pStyle w:val="NoSpacing"/>
                    <w:rPr>
                      <w:rFonts w:ascii="Arial" w:hAnsi="Arial" w:cs="Arial"/>
                    </w:rPr>
                  </w:pPr>
                  <w:hyperlink r:id="rId18" w:history="1">
                    <w:r w:rsidR="00FC46FF" w:rsidRPr="009246FF">
                      <w:rPr>
                        <w:rStyle w:val="Hyperlink"/>
                        <w:rFonts w:ascii="Arial" w:hAnsi="Arial" w:cs="Arial"/>
                      </w:rPr>
                      <w:t>Kilkieran Bay and Islands SAC | National Parks &amp; Wildlife Service (npws.ie)</w:t>
                    </w:r>
                  </w:hyperlink>
                </w:p>
                <w:p w14:paraId="7FAE33B7" w14:textId="77777777" w:rsidR="0052798E" w:rsidRPr="009246FF" w:rsidRDefault="0052798E" w:rsidP="001E0E97">
                  <w:pPr>
                    <w:pStyle w:val="NoSpacing"/>
                    <w:rPr>
                      <w:rFonts w:ascii="Arial" w:hAnsi="Arial" w:cs="Arial"/>
                      <w:b/>
                      <w:bCs/>
                    </w:rPr>
                  </w:pPr>
                </w:p>
                <w:p w14:paraId="571FC6B0" w14:textId="59F3A1B5" w:rsidR="00D07B02" w:rsidRPr="009246FF" w:rsidRDefault="00D07B02" w:rsidP="000164FD">
                  <w:pPr>
                    <w:pStyle w:val="NoSpacing"/>
                    <w:jc w:val="both"/>
                    <w:rPr>
                      <w:rFonts w:ascii="Arial" w:hAnsi="Arial" w:cs="Arial"/>
                      <w:b/>
                      <w:bCs/>
                    </w:rPr>
                  </w:pPr>
                  <w:r w:rsidRPr="009246FF">
                    <w:rPr>
                      <w:rFonts w:ascii="Arial" w:hAnsi="Arial" w:cs="Arial"/>
                    </w:rPr>
                    <w:t xml:space="preserve">Harbour seal is a mobile QI of Kilkieran Bay and Islands SAC, however, this species does not appear to regularly use the Shannon Estuary, and only several individuals have been recorded during the past three surveys (Cronin et al. 2003; Morris and Duck, 2019). It is unlikely these belong to the SAC population which is over 100km away. </w:t>
                  </w:r>
                </w:p>
                <w:p w14:paraId="612C1889" w14:textId="77777777" w:rsidR="00D07B02" w:rsidRPr="009246FF" w:rsidRDefault="00D07B02" w:rsidP="001E0E97">
                  <w:pPr>
                    <w:pStyle w:val="NoSpacing"/>
                    <w:rPr>
                      <w:rFonts w:ascii="Arial" w:hAnsi="Arial" w:cs="Arial"/>
                      <w:b/>
                      <w:bCs/>
                    </w:rPr>
                  </w:pPr>
                </w:p>
                <w:p w14:paraId="5903031E" w14:textId="79BCF763" w:rsidR="0052798E" w:rsidRPr="009246FF" w:rsidRDefault="0052798E" w:rsidP="00690A78">
                  <w:pPr>
                    <w:pStyle w:val="NoSpacing"/>
                    <w:jc w:val="both"/>
                    <w:rPr>
                      <w:rFonts w:ascii="Arial" w:hAnsi="Arial" w:cs="Arial"/>
                      <w:b/>
                      <w:bCs/>
                    </w:rPr>
                  </w:pPr>
                  <w:r w:rsidRPr="009246FF">
                    <w:rPr>
                      <w:rFonts w:ascii="Arial" w:hAnsi="Arial" w:cs="Arial"/>
                      <w:b/>
                      <w:bCs/>
                    </w:rPr>
                    <w:t>SCREENED OUT – NO LIKELY SIGNIFICANT EFFECT</w:t>
                  </w:r>
                  <w:r w:rsidR="00EA1854" w:rsidRPr="009246FF">
                    <w:rPr>
                      <w:rFonts w:ascii="Arial" w:hAnsi="Arial" w:cs="Arial"/>
                      <w:b/>
                      <w:bCs/>
                    </w:rPr>
                    <w:t>S ON HARBOUR SEALS</w:t>
                  </w:r>
                  <w:r w:rsidR="001B16ED" w:rsidRPr="009246FF">
                    <w:rPr>
                      <w:rFonts w:ascii="Arial" w:hAnsi="Arial" w:cs="Arial"/>
                      <w:b/>
                      <w:bCs/>
                    </w:rPr>
                    <w:t xml:space="preserve"> FROM CONSTRUCTION </w:t>
                  </w:r>
                  <w:r w:rsidR="00D95DB8" w:rsidRPr="009246FF">
                    <w:rPr>
                      <w:rFonts w:ascii="Arial" w:hAnsi="Arial" w:cs="Arial"/>
                      <w:b/>
                      <w:bCs/>
                    </w:rPr>
                    <w:t xml:space="preserve">NOISE </w:t>
                  </w:r>
                  <w:r w:rsidR="001B16ED" w:rsidRPr="009246FF">
                    <w:rPr>
                      <w:rFonts w:ascii="Arial" w:hAnsi="Arial" w:cs="Arial"/>
                      <w:b/>
                      <w:bCs/>
                    </w:rPr>
                    <w:t xml:space="preserve">AND </w:t>
                  </w:r>
                  <w:r w:rsidR="00652C05" w:rsidRPr="009246FF">
                    <w:rPr>
                      <w:rFonts w:ascii="Arial" w:hAnsi="Arial" w:cs="Arial"/>
                      <w:b/>
                      <w:bCs/>
                    </w:rPr>
                    <w:t>DISTANCE FROM SAC</w:t>
                  </w:r>
                </w:p>
                <w:p w14:paraId="25E7144C" w14:textId="77777777" w:rsidR="0052798E" w:rsidRPr="009246FF" w:rsidRDefault="0052798E" w:rsidP="001E0E97">
                  <w:pPr>
                    <w:pStyle w:val="NoSpacing"/>
                    <w:rPr>
                      <w:rFonts w:ascii="Arial" w:hAnsi="Arial" w:cs="Arial"/>
                    </w:rPr>
                  </w:pPr>
                </w:p>
              </w:tc>
            </w:tr>
            <w:tr w:rsidR="0052798E" w:rsidRPr="009246FF" w14:paraId="53F27C2F" w14:textId="77777777" w:rsidTr="008C7939">
              <w:tc>
                <w:tcPr>
                  <w:tcW w:w="1020" w:type="dxa"/>
                </w:tcPr>
                <w:p w14:paraId="71AC5161" w14:textId="4E488C5A" w:rsidR="0052798E" w:rsidRPr="009246FF" w:rsidRDefault="0052798E" w:rsidP="001E0E97">
                  <w:pPr>
                    <w:pStyle w:val="NoSpacing"/>
                    <w:rPr>
                      <w:rFonts w:ascii="Arial" w:hAnsi="Arial" w:cs="Arial"/>
                      <w:lang w:val="en-US"/>
                    </w:rPr>
                  </w:pPr>
                  <w:r w:rsidRPr="009246FF">
                    <w:rPr>
                      <w:rFonts w:ascii="Arial" w:hAnsi="Arial" w:cs="Arial"/>
                      <w:b/>
                      <w:bCs/>
                      <w:lang w:val="en-US"/>
                    </w:rPr>
                    <w:t>Effect mechanism</w:t>
                  </w:r>
                </w:p>
              </w:tc>
              <w:tc>
                <w:tcPr>
                  <w:tcW w:w="2268" w:type="dxa"/>
                </w:tcPr>
                <w:p w14:paraId="7ABAEFEB" w14:textId="503D29D8" w:rsidR="0052798E" w:rsidRPr="009246FF" w:rsidRDefault="0052798E" w:rsidP="001E0E97">
                  <w:pPr>
                    <w:pStyle w:val="NoSpacing"/>
                    <w:rPr>
                      <w:rFonts w:ascii="Arial" w:hAnsi="Arial" w:cs="Arial"/>
                      <w:lang w:val="en-US"/>
                    </w:rPr>
                  </w:pPr>
                  <w:r w:rsidRPr="009246FF">
                    <w:rPr>
                      <w:rFonts w:ascii="Arial" w:hAnsi="Arial" w:cs="Arial"/>
                      <w:b/>
                      <w:bCs/>
                      <w:lang w:val="en-US"/>
                    </w:rPr>
                    <w:t xml:space="preserve">Impact pathway/Zone of influence </w:t>
                  </w:r>
                </w:p>
              </w:tc>
              <w:tc>
                <w:tcPr>
                  <w:tcW w:w="5553" w:type="dxa"/>
                </w:tcPr>
                <w:p w14:paraId="709309F9" w14:textId="557B1271" w:rsidR="0052798E" w:rsidRPr="009246FF" w:rsidRDefault="0052798E" w:rsidP="001E0E97">
                  <w:pPr>
                    <w:pStyle w:val="NoSpacing"/>
                    <w:rPr>
                      <w:rFonts w:ascii="Arial" w:hAnsi="Arial" w:cs="Arial"/>
                    </w:rPr>
                  </w:pPr>
                  <w:r w:rsidRPr="009246FF">
                    <w:rPr>
                      <w:rFonts w:ascii="Arial" w:hAnsi="Arial" w:cs="Arial"/>
                      <w:b/>
                      <w:bCs/>
                      <w:lang w:val="en-US"/>
                    </w:rPr>
                    <w:t>Qualifying interest features at risk</w:t>
                  </w:r>
                </w:p>
              </w:tc>
            </w:tr>
            <w:tr w:rsidR="0052798E" w:rsidRPr="009246FF" w14:paraId="4BF6435A" w14:textId="77777777" w:rsidTr="008C7939">
              <w:tc>
                <w:tcPr>
                  <w:tcW w:w="1020" w:type="dxa"/>
                </w:tcPr>
                <w:p w14:paraId="0F5C1EF9" w14:textId="77777777" w:rsidR="0052798E" w:rsidRPr="009246FF" w:rsidRDefault="0052798E" w:rsidP="001E0E97">
                  <w:pPr>
                    <w:pStyle w:val="NoSpacing"/>
                    <w:rPr>
                      <w:rFonts w:ascii="Arial" w:hAnsi="Arial" w:cs="Arial"/>
                      <w:lang w:val="en-US"/>
                    </w:rPr>
                  </w:pPr>
                </w:p>
                <w:p w14:paraId="24D911C6" w14:textId="28AC092E" w:rsidR="0052798E" w:rsidRPr="009246FF" w:rsidRDefault="00584548" w:rsidP="001E0E97">
                  <w:pPr>
                    <w:pStyle w:val="NoSpacing"/>
                    <w:rPr>
                      <w:rFonts w:ascii="Arial" w:hAnsi="Arial" w:cs="Arial"/>
                      <w:lang w:val="en-US"/>
                    </w:rPr>
                  </w:pPr>
                  <w:r w:rsidRPr="009246FF">
                    <w:rPr>
                      <w:rFonts w:ascii="Arial" w:hAnsi="Arial" w:cs="Arial"/>
                      <w:lang w:val="en-US"/>
                    </w:rPr>
                    <w:t>None</w:t>
                  </w:r>
                </w:p>
              </w:tc>
              <w:tc>
                <w:tcPr>
                  <w:tcW w:w="2268" w:type="dxa"/>
                </w:tcPr>
                <w:p w14:paraId="368B9C4B" w14:textId="44B65047" w:rsidR="0052798E" w:rsidRPr="009246FF" w:rsidRDefault="00357BDA" w:rsidP="001E0E97">
                  <w:pPr>
                    <w:pStyle w:val="NoSpacing"/>
                    <w:rPr>
                      <w:rFonts w:ascii="Arial" w:hAnsi="Arial" w:cs="Arial"/>
                      <w:lang w:val="en-US"/>
                    </w:rPr>
                  </w:pPr>
                  <w:r w:rsidRPr="009246FF">
                    <w:rPr>
                      <w:rFonts w:ascii="Arial" w:hAnsi="Arial" w:cs="Arial"/>
                      <w:lang w:val="en-US"/>
                    </w:rPr>
                    <w:t xml:space="preserve">70km </w:t>
                  </w:r>
                  <w:r w:rsidR="00652C05" w:rsidRPr="009246FF">
                    <w:rPr>
                      <w:rFonts w:ascii="Arial" w:hAnsi="Arial" w:cs="Arial"/>
                      <w:lang w:val="en-US"/>
                    </w:rPr>
                    <w:t>north, 117km hydrological connection</w:t>
                  </w:r>
                </w:p>
              </w:tc>
              <w:tc>
                <w:tcPr>
                  <w:tcW w:w="5553" w:type="dxa"/>
                </w:tcPr>
                <w:p w14:paraId="4B4F9DAD" w14:textId="3015CB0B" w:rsidR="00536550" w:rsidRPr="009246FF" w:rsidRDefault="00FC46FF" w:rsidP="001E0E97">
                  <w:pPr>
                    <w:pStyle w:val="NoSpacing"/>
                    <w:rPr>
                      <w:rFonts w:ascii="Arial" w:hAnsi="Arial" w:cs="Arial"/>
                      <w:b/>
                      <w:bCs/>
                    </w:rPr>
                  </w:pPr>
                  <w:r w:rsidRPr="009246FF">
                    <w:rPr>
                      <w:rFonts w:ascii="Arial" w:hAnsi="Arial" w:cs="Arial"/>
                    </w:rPr>
                    <w:t>Mudflats and sandflats not covered by seawater at low tide [1140]</w:t>
                  </w:r>
                  <w:r w:rsidR="00536550" w:rsidRPr="009246FF">
                    <w:rPr>
                      <w:rFonts w:ascii="Arial" w:hAnsi="Arial" w:cs="Arial"/>
                    </w:rPr>
                    <w:t xml:space="preserve"> </w:t>
                  </w:r>
                  <w:proofErr w:type="gramStart"/>
                  <w:r w:rsidR="00536550" w:rsidRPr="009246FF">
                    <w:rPr>
                      <w:rFonts w:ascii="Arial" w:hAnsi="Arial" w:cs="Arial"/>
                      <w:b/>
                      <w:bCs/>
                    </w:rPr>
                    <w:t>M</w:t>
                  </w:r>
                  <w:proofErr w:type="gramEnd"/>
                </w:p>
                <w:p w14:paraId="7C527F52" w14:textId="24513EE9" w:rsidR="00FC46FF" w:rsidRPr="009246FF" w:rsidRDefault="00FC46FF" w:rsidP="001E0E97">
                  <w:pPr>
                    <w:pStyle w:val="NoSpacing"/>
                    <w:rPr>
                      <w:rFonts w:ascii="Arial" w:hAnsi="Arial" w:cs="Arial"/>
                    </w:rPr>
                  </w:pPr>
                  <w:r w:rsidRPr="009246FF">
                    <w:rPr>
                      <w:rFonts w:ascii="Arial" w:hAnsi="Arial" w:cs="Arial"/>
                    </w:rPr>
                    <w:t>Coastal lagoons [1150]</w:t>
                  </w:r>
                  <w:r w:rsidR="001F64C0" w:rsidRPr="009246FF">
                    <w:rPr>
                      <w:rFonts w:ascii="Arial" w:hAnsi="Arial" w:cs="Arial"/>
                    </w:rPr>
                    <w:t xml:space="preserve"> </w:t>
                  </w:r>
                  <w:r w:rsidR="001F64C0" w:rsidRPr="009246FF">
                    <w:rPr>
                      <w:rFonts w:ascii="Arial" w:hAnsi="Arial" w:cs="Arial"/>
                      <w:b/>
                      <w:bCs/>
                    </w:rPr>
                    <w:t>M</w:t>
                  </w:r>
                </w:p>
                <w:p w14:paraId="6329AAB5" w14:textId="77777777" w:rsidR="001F64C0" w:rsidRPr="009246FF" w:rsidRDefault="00FC46FF" w:rsidP="001E0E97">
                  <w:pPr>
                    <w:pStyle w:val="NoSpacing"/>
                    <w:rPr>
                      <w:rFonts w:ascii="Arial" w:hAnsi="Arial" w:cs="Arial"/>
                    </w:rPr>
                  </w:pPr>
                  <w:r w:rsidRPr="009246FF">
                    <w:rPr>
                      <w:rFonts w:ascii="Arial" w:hAnsi="Arial" w:cs="Arial"/>
                    </w:rPr>
                    <w:t>Large shallow inlets and bays [1160]</w:t>
                  </w:r>
                  <w:r w:rsidR="001F64C0" w:rsidRPr="009246FF">
                    <w:rPr>
                      <w:rFonts w:ascii="Arial" w:hAnsi="Arial" w:cs="Arial"/>
                    </w:rPr>
                    <w:t xml:space="preserve"> </w:t>
                  </w:r>
                  <w:r w:rsidR="001F64C0" w:rsidRPr="009246FF">
                    <w:rPr>
                      <w:rFonts w:ascii="Arial" w:hAnsi="Arial" w:cs="Arial"/>
                      <w:b/>
                      <w:bCs/>
                    </w:rPr>
                    <w:t>M</w:t>
                  </w:r>
                </w:p>
                <w:p w14:paraId="7856EE50" w14:textId="3FB2035D" w:rsidR="00FC46FF" w:rsidRPr="009246FF" w:rsidRDefault="00FC46FF" w:rsidP="001E0E97">
                  <w:pPr>
                    <w:pStyle w:val="NoSpacing"/>
                    <w:rPr>
                      <w:rFonts w:ascii="Arial" w:hAnsi="Arial" w:cs="Arial"/>
                    </w:rPr>
                  </w:pPr>
                  <w:r w:rsidRPr="009246FF">
                    <w:rPr>
                      <w:rFonts w:ascii="Arial" w:hAnsi="Arial" w:cs="Arial"/>
                    </w:rPr>
                    <w:t>Reefs [1170]</w:t>
                  </w:r>
                  <w:r w:rsidR="002C414C" w:rsidRPr="009246FF">
                    <w:rPr>
                      <w:rFonts w:ascii="Arial" w:hAnsi="Arial" w:cs="Arial"/>
                    </w:rPr>
                    <w:t xml:space="preserve"> </w:t>
                  </w:r>
                  <w:r w:rsidR="002C414C" w:rsidRPr="009246FF">
                    <w:rPr>
                      <w:rFonts w:ascii="Arial" w:hAnsi="Arial" w:cs="Arial"/>
                      <w:b/>
                      <w:bCs/>
                    </w:rPr>
                    <w:t>M</w:t>
                  </w:r>
                </w:p>
                <w:p w14:paraId="071E3F57" w14:textId="77777777" w:rsidR="002C414C" w:rsidRPr="009246FF" w:rsidRDefault="00FC46FF" w:rsidP="001E0E97">
                  <w:pPr>
                    <w:pStyle w:val="NoSpacing"/>
                    <w:rPr>
                      <w:rFonts w:ascii="Arial" w:hAnsi="Arial" w:cs="Arial"/>
                      <w:b/>
                      <w:bCs/>
                    </w:rPr>
                  </w:pPr>
                  <w:r w:rsidRPr="009246FF">
                    <w:rPr>
                      <w:rFonts w:ascii="Arial" w:hAnsi="Arial" w:cs="Arial"/>
                    </w:rPr>
                    <w:t>Atlantic salt meadows (Glauco-Puccinellietalia maritimae) [1330]</w:t>
                  </w:r>
                  <w:r w:rsidR="002C414C" w:rsidRPr="009246FF">
                    <w:rPr>
                      <w:rFonts w:ascii="Arial" w:hAnsi="Arial" w:cs="Arial"/>
                    </w:rPr>
                    <w:t xml:space="preserve"> </w:t>
                  </w:r>
                  <w:r w:rsidR="002C414C" w:rsidRPr="009246FF">
                    <w:rPr>
                      <w:rFonts w:ascii="Arial" w:hAnsi="Arial" w:cs="Arial"/>
                      <w:b/>
                      <w:bCs/>
                    </w:rPr>
                    <w:t>R</w:t>
                  </w:r>
                </w:p>
                <w:p w14:paraId="0D929508" w14:textId="7DCF5C1F" w:rsidR="00662788" w:rsidRPr="009246FF" w:rsidRDefault="00B56B8E" w:rsidP="00662788">
                  <w:pPr>
                    <w:pStyle w:val="NoSpacing"/>
                    <w:rPr>
                      <w:rFonts w:ascii="Arial" w:hAnsi="Arial" w:cs="Arial"/>
                    </w:rPr>
                  </w:pPr>
                  <w:r w:rsidRPr="009246FF">
                    <w:rPr>
                      <w:rFonts w:ascii="Arial" w:hAnsi="Arial" w:cs="Arial"/>
                    </w:rPr>
                    <w:t>Otter (</w:t>
                  </w:r>
                  <w:r w:rsidR="00662788" w:rsidRPr="009246FF">
                    <w:rPr>
                      <w:rFonts w:ascii="Arial" w:hAnsi="Arial" w:cs="Arial"/>
                    </w:rPr>
                    <w:t xml:space="preserve">Lutra lutra) [1355] </w:t>
                  </w:r>
                  <w:r w:rsidR="00662788" w:rsidRPr="009246FF">
                    <w:rPr>
                      <w:rFonts w:ascii="Arial" w:hAnsi="Arial" w:cs="Arial"/>
                      <w:b/>
                      <w:bCs/>
                    </w:rPr>
                    <w:t>R</w:t>
                  </w:r>
                </w:p>
                <w:p w14:paraId="74C03A89" w14:textId="74D36645" w:rsidR="00662788" w:rsidRPr="00A34008" w:rsidRDefault="00662788" w:rsidP="001E0E97">
                  <w:pPr>
                    <w:pStyle w:val="NoSpacing"/>
                    <w:rPr>
                      <w:rFonts w:ascii="Arial" w:hAnsi="Arial" w:cs="Arial"/>
                      <w:lang w:val="it-IT"/>
                    </w:rPr>
                  </w:pPr>
                  <w:r w:rsidRPr="00A34008">
                    <w:rPr>
                      <w:rFonts w:ascii="Arial" w:hAnsi="Arial" w:cs="Arial"/>
                      <w:lang w:val="it-IT"/>
                    </w:rPr>
                    <w:t>Harbour Seal</w:t>
                  </w:r>
                  <w:r w:rsidR="007D4E81" w:rsidRPr="00A34008">
                    <w:rPr>
                      <w:rFonts w:ascii="Arial" w:hAnsi="Arial" w:cs="Arial"/>
                      <w:lang w:val="it-IT"/>
                    </w:rPr>
                    <w:t xml:space="preserve"> (Phoca vitulina)</w:t>
                  </w:r>
                  <w:r w:rsidRPr="00A34008">
                    <w:rPr>
                      <w:rFonts w:ascii="Arial" w:hAnsi="Arial" w:cs="Arial"/>
                      <w:lang w:val="it-IT"/>
                    </w:rPr>
                    <w:t xml:space="preserve"> [1365]</w:t>
                  </w:r>
                  <w:r w:rsidR="00172F4F" w:rsidRPr="00A34008">
                    <w:rPr>
                      <w:rFonts w:ascii="Arial" w:hAnsi="Arial" w:cs="Arial"/>
                      <w:lang w:val="it-IT"/>
                    </w:rPr>
                    <w:t xml:space="preserve"> </w:t>
                  </w:r>
                  <w:r w:rsidR="00172F4F" w:rsidRPr="00A34008">
                    <w:rPr>
                      <w:rFonts w:ascii="Arial" w:hAnsi="Arial" w:cs="Arial"/>
                      <w:b/>
                      <w:bCs/>
                      <w:lang w:val="it-IT"/>
                    </w:rPr>
                    <w:t>M</w:t>
                  </w:r>
                </w:p>
                <w:p w14:paraId="62FDBCE7" w14:textId="39BEA328" w:rsidR="00FC46FF" w:rsidRPr="00A34008" w:rsidRDefault="00FC46FF" w:rsidP="001E0E97">
                  <w:pPr>
                    <w:pStyle w:val="NoSpacing"/>
                    <w:rPr>
                      <w:rFonts w:ascii="Arial" w:hAnsi="Arial" w:cs="Arial"/>
                      <w:b/>
                      <w:bCs/>
                      <w:lang w:val="it-IT"/>
                    </w:rPr>
                  </w:pPr>
                  <w:r w:rsidRPr="00A34008">
                    <w:rPr>
                      <w:rFonts w:ascii="Arial" w:hAnsi="Arial" w:cs="Arial"/>
                      <w:lang w:val="it-IT"/>
                    </w:rPr>
                    <w:t>Mediterranean salt meadows (Juncetalia maritimi) [1410]</w:t>
                  </w:r>
                  <w:r w:rsidR="00D840FC" w:rsidRPr="00A34008">
                    <w:rPr>
                      <w:rFonts w:ascii="Arial" w:hAnsi="Arial" w:cs="Arial"/>
                      <w:lang w:val="it-IT"/>
                    </w:rPr>
                    <w:t xml:space="preserve"> </w:t>
                  </w:r>
                  <w:r w:rsidR="00D840FC" w:rsidRPr="00A34008">
                    <w:rPr>
                      <w:rFonts w:ascii="Arial" w:hAnsi="Arial" w:cs="Arial"/>
                      <w:b/>
                      <w:bCs/>
                      <w:lang w:val="it-IT"/>
                    </w:rPr>
                    <w:t>R</w:t>
                  </w:r>
                </w:p>
                <w:p w14:paraId="5E10AA67" w14:textId="0FC831C3" w:rsidR="007F4615" w:rsidRPr="009246FF" w:rsidRDefault="007F4615" w:rsidP="001E0E97">
                  <w:pPr>
                    <w:pStyle w:val="NoSpacing"/>
                    <w:rPr>
                      <w:rFonts w:ascii="Arial" w:hAnsi="Arial" w:cs="Arial"/>
                    </w:rPr>
                  </w:pPr>
                  <w:r w:rsidRPr="009246FF">
                    <w:rPr>
                      <w:rFonts w:ascii="Arial" w:hAnsi="Arial" w:cs="Arial"/>
                    </w:rPr>
                    <w:t>Slender Naiad (</w:t>
                  </w:r>
                  <w:proofErr w:type="spellStart"/>
                  <w:r w:rsidRPr="009246FF">
                    <w:rPr>
                      <w:rFonts w:ascii="Arial" w:hAnsi="Arial" w:cs="Arial"/>
                    </w:rPr>
                    <w:t>Najas</w:t>
                  </w:r>
                  <w:proofErr w:type="spellEnd"/>
                  <w:r w:rsidRPr="009246FF">
                    <w:rPr>
                      <w:rFonts w:ascii="Arial" w:hAnsi="Arial" w:cs="Arial"/>
                    </w:rPr>
                    <w:t xml:space="preserve"> </w:t>
                  </w:r>
                  <w:proofErr w:type="spellStart"/>
                  <w:r w:rsidRPr="009246FF">
                    <w:rPr>
                      <w:rFonts w:ascii="Arial" w:hAnsi="Arial" w:cs="Arial"/>
                    </w:rPr>
                    <w:t>flexilis</w:t>
                  </w:r>
                  <w:proofErr w:type="spellEnd"/>
                  <w:r w:rsidRPr="009246FF">
                    <w:rPr>
                      <w:rFonts w:ascii="Arial" w:hAnsi="Arial" w:cs="Arial"/>
                    </w:rPr>
                    <w:t>) [1833]</w:t>
                  </w:r>
                  <w:r w:rsidR="00172F4F" w:rsidRPr="009246FF">
                    <w:rPr>
                      <w:rFonts w:ascii="Arial" w:hAnsi="Arial" w:cs="Arial"/>
                    </w:rPr>
                    <w:t xml:space="preserve"> </w:t>
                  </w:r>
                  <w:r w:rsidR="00172F4F" w:rsidRPr="009246FF">
                    <w:rPr>
                      <w:rFonts w:ascii="Arial" w:hAnsi="Arial" w:cs="Arial"/>
                      <w:b/>
                      <w:bCs/>
                    </w:rPr>
                    <w:t>M</w:t>
                  </w:r>
                </w:p>
                <w:p w14:paraId="3B44CBC6" w14:textId="69B5175A" w:rsidR="00FC46FF" w:rsidRPr="009246FF" w:rsidRDefault="00FC46FF" w:rsidP="001E0E97">
                  <w:pPr>
                    <w:pStyle w:val="NoSpacing"/>
                    <w:rPr>
                      <w:rFonts w:ascii="Arial" w:hAnsi="Arial" w:cs="Arial"/>
                    </w:rPr>
                  </w:pPr>
                  <w:r w:rsidRPr="009246FF">
                    <w:rPr>
                      <w:rFonts w:ascii="Arial" w:hAnsi="Arial" w:cs="Arial"/>
                    </w:rPr>
                    <w:t>Machairs (* in Ireland) [21A0]</w:t>
                  </w:r>
                  <w:r w:rsidR="00461F3E" w:rsidRPr="009246FF">
                    <w:rPr>
                      <w:rFonts w:ascii="Arial" w:hAnsi="Arial" w:cs="Arial"/>
                    </w:rPr>
                    <w:t xml:space="preserve"> </w:t>
                  </w:r>
                  <w:r w:rsidR="00461F3E" w:rsidRPr="009246FF">
                    <w:rPr>
                      <w:rFonts w:ascii="Arial" w:hAnsi="Arial" w:cs="Arial"/>
                      <w:b/>
                      <w:bCs/>
                    </w:rPr>
                    <w:t>R</w:t>
                  </w:r>
                </w:p>
                <w:p w14:paraId="1284BC80" w14:textId="07CF7E7C" w:rsidR="00FC46FF" w:rsidRPr="009246FF" w:rsidRDefault="00FC46FF" w:rsidP="001E0E97">
                  <w:pPr>
                    <w:pStyle w:val="NoSpacing"/>
                    <w:rPr>
                      <w:rFonts w:ascii="Arial" w:hAnsi="Arial" w:cs="Arial"/>
                      <w:b/>
                      <w:bCs/>
                    </w:rPr>
                  </w:pPr>
                  <w:r w:rsidRPr="009246FF">
                    <w:rPr>
                      <w:rFonts w:ascii="Arial" w:hAnsi="Arial" w:cs="Arial"/>
                    </w:rPr>
                    <w:t xml:space="preserve">Lowland hay meadows (Alopecurus pratensis, </w:t>
                  </w:r>
                  <w:r w:rsidR="007E5173" w:rsidRPr="009246FF">
                    <w:rPr>
                      <w:rFonts w:ascii="Arial" w:hAnsi="Arial" w:cs="Arial"/>
                    </w:rPr>
                    <w:t>Sanguisorba officinalis)</w:t>
                  </w:r>
                  <w:r w:rsidRPr="009246FF">
                    <w:rPr>
                      <w:rFonts w:ascii="Arial" w:hAnsi="Arial" w:cs="Arial"/>
                    </w:rPr>
                    <w:t xml:space="preserve"> [6510]</w:t>
                  </w:r>
                  <w:r w:rsidR="00461F3E" w:rsidRPr="009246FF">
                    <w:rPr>
                      <w:rFonts w:ascii="Arial" w:hAnsi="Arial" w:cs="Arial"/>
                    </w:rPr>
                    <w:t xml:space="preserve"> </w:t>
                  </w:r>
                  <w:r w:rsidR="00461F3E" w:rsidRPr="009246FF">
                    <w:rPr>
                      <w:rFonts w:ascii="Arial" w:hAnsi="Arial" w:cs="Arial"/>
                      <w:b/>
                      <w:bCs/>
                    </w:rPr>
                    <w:t>M</w:t>
                  </w:r>
                </w:p>
                <w:p w14:paraId="24F7A80A" w14:textId="5FEAF701" w:rsidR="00B234A7" w:rsidRPr="009246FF" w:rsidRDefault="00B234A7" w:rsidP="001E0E97">
                  <w:pPr>
                    <w:pStyle w:val="NoSpacing"/>
                    <w:rPr>
                      <w:rFonts w:ascii="Arial" w:hAnsi="Arial" w:cs="Arial"/>
                    </w:rPr>
                  </w:pPr>
                </w:p>
              </w:tc>
            </w:tr>
            <w:tr w:rsidR="00C736DC" w:rsidRPr="009246FF" w14:paraId="442797EE" w14:textId="77777777" w:rsidTr="001E798B">
              <w:tc>
                <w:tcPr>
                  <w:tcW w:w="8841" w:type="dxa"/>
                  <w:gridSpan w:val="3"/>
                  <w:shd w:val="clear" w:color="auto" w:fill="D9D9D9" w:themeFill="background1" w:themeFillShade="D9"/>
                </w:tcPr>
                <w:p w14:paraId="0C47561A" w14:textId="77777777" w:rsidR="00C736DC" w:rsidRPr="009246FF" w:rsidRDefault="00C736DC" w:rsidP="001E0E97">
                  <w:pPr>
                    <w:pStyle w:val="NoSpacing"/>
                    <w:rPr>
                      <w:rFonts w:ascii="Arial" w:hAnsi="Arial" w:cs="Arial"/>
                    </w:rPr>
                  </w:pPr>
                  <w:r w:rsidRPr="009246FF">
                    <w:rPr>
                      <w:rFonts w:ascii="Arial" w:hAnsi="Arial" w:cs="Arial"/>
                    </w:rPr>
                    <w:t>Slyne Head Islands SAC [000328]</w:t>
                  </w:r>
                </w:p>
                <w:p w14:paraId="6C5DACA3" w14:textId="23B6A460" w:rsidR="00C1201C" w:rsidRPr="009246FF" w:rsidRDefault="00000000" w:rsidP="001E0E97">
                  <w:pPr>
                    <w:pStyle w:val="NoSpacing"/>
                    <w:rPr>
                      <w:rFonts w:ascii="Arial" w:hAnsi="Arial" w:cs="Arial"/>
                    </w:rPr>
                  </w:pPr>
                  <w:hyperlink r:id="rId19" w:history="1">
                    <w:r w:rsidR="00C1201C" w:rsidRPr="009246FF">
                      <w:rPr>
                        <w:rStyle w:val="Hyperlink"/>
                        <w:rFonts w:ascii="Arial" w:hAnsi="Arial" w:cs="Arial"/>
                      </w:rPr>
                      <w:t>Slyne Head Islands SAC | National Parks &amp; Wildlife Service (npws.ie)</w:t>
                    </w:r>
                  </w:hyperlink>
                </w:p>
                <w:p w14:paraId="0AA05ABD" w14:textId="77777777" w:rsidR="007A7DF1" w:rsidRPr="009246FF" w:rsidRDefault="007A7DF1" w:rsidP="001E0E97">
                  <w:pPr>
                    <w:pStyle w:val="NoSpacing"/>
                    <w:rPr>
                      <w:rFonts w:ascii="Arial" w:hAnsi="Arial" w:cs="Arial"/>
                    </w:rPr>
                  </w:pPr>
                </w:p>
                <w:p w14:paraId="730D27AA" w14:textId="6787BB19" w:rsidR="007A7DF1" w:rsidRPr="009246FF" w:rsidRDefault="007A7DF1" w:rsidP="007A7DF1">
                  <w:pPr>
                    <w:pStyle w:val="NoSpacing"/>
                    <w:jc w:val="both"/>
                    <w:rPr>
                      <w:rFonts w:ascii="Arial" w:hAnsi="Arial" w:cs="Arial"/>
                    </w:rPr>
                  </w:pPr>
                  <w:r w:rsidRPr="009246FF">
                    <w:rPr>
                      <w:rFonts w:ascii="Arial" w:hAnsi="Arial" w:cs="Arial"/>
                    </w:rPr>
                    <w:t xml:space="preserve">Slyne Head SAC is connected hydrologically to the Site at </w:t>
                  </w:r>
                  <w:proofErr w:type="gramStart"/>
                  <w:r w:rsidRPr="009246FF">
                    <w:rPr>
                      <w:rFonts w:ascii="Arial" w:hAnsi="Arial" w:cs="Arial"/>
                    </w:rPr>
                    <w:t>a distance of 135km</w:t>
                  </w:r>
                  <w:proofErr w:type="gramEnd"/>
                  <w:r w:rsidRPr="009246FF">
                    <w:rPr>
                      <w:rFonts w:ascii="Arial" w:hAnsi="Arial" w:cs="Arial"/>
                    </w:rPr>
                    <w:t xml:space="preserve"> via the Shannon Estuary and Atlantic Ocean, and is designated for reefs, bottlenose dolphin and grey seal. Given the separation distance, there is no source-pathway-receptor relationship between the Site and the SAC for significant effects to reefs, however, as mobile species, grey seal and bottlenose dolphin may potentially venture into the Shannon Estuary and in proximity to the Site.</w:t>
                  </w:r>
                </w:p>
                <w:p w14:paraId="7ECA65C6" w14:textId="77777777" w:rsidR="00C1201C" w:rsidRPr="009246FF" w:rsidRDefault="00C1201C" w:rsidP="001E0E97">
                  <w:pPr>
                    <w:pStyle w:val="NoSpacing"/>
                    <w:rPr>
                      <w:rFonts w:ascii="Arial" w:hAnsi="Arial" w:cs="Arial"/>
                    </w:rPr>
                  </w:pPr>
                </w:p>
                <w:p w14:paraId="0A529DB5" w14:textId="77777777" w:rsidR="00C1201C" w:rsidRPr="009246FF" w:rsidRDefault="00C1201C" w:rsidP="00C1201C">
                  <w:pPr>
                    <w:pStyle w:val="NoSpacing"/>
                    <w:rPr>
                      <w:rFonts w:ascii="Arial" w:hAnsi="Arial" w:cs="Arial"/>
                      <w:b/>
                      <w:bCs/>
                    </w:rPr>
                  </w:pPr>
                  <w:r w:rsidRPr="009246FF">
                    <w:rPr>
                      <w:rFonts w:ascii="Arial" w:hAnsi="Arial" w:cs="Arial"/>
                      <w:b/>
                      <w:bCs/>
                    </w:rPr>
                    <w:t>SCREENED OUT – NO LIKELY SIGNIFICANT EFFECTS DUE TO DISTANCE FROM SAC</w:t>
                  </w:r>
                </w:p>
                <w:p w14:paraId="42BC12BC" w14:textId="3B0F5B2B" w:rsidR="00C736DC" w:rsidRPr="009246FF" w:rsidRDefault="00C736DC" w:rsidP="001E0E97">
                  <w:pPr>
                    <w:pStyle w:val="NoSpacing"/>
                    <w:rPr>
                      <w:rFonts w:ascii="Arial" w:hAnsi="Arial" w:cs="Arial"/>
                    </w:rPr>
                  </w:pPr>
                </w:p>
              </w:tc>
            </w:tr>
            <w:tr w:rsidR="006E19D3" w:rsidRPr="009246FF" w14:paraId="51880D47" w14:textId="77777777" w:rsidTr="008C7939">
              <w:tc>
                <w:tcPr>
                  <w:tcW w:w="1020" w:type="dxa"/>
                </w:tcPr>
                <w:p w14:paraId="3ED68EA6" w14:textId="1D02D0EE" w:rsidR="006E19D3" w:rsidRPr="009246FF" w:rsidRDefault="006E19D3" w:rsidP="006E19D3">
                  <w:pPr>
                    <w:pStyle w:val="NoSpacing"/>
                    <w:rPr>
                      <w:rFonts w:ascii="Arial" w:hAnsi="Arial" w:cs="Arial"/>
                      <w:lang w:val="en-US"/>
                    </w:rPr>
                  </w:pPr>
                  <w:r w:rsidRPr="009246FF">
                    <w:rPr>
                      <w:rFonts w:ascii="Arial" w:hAnsi="Arial" w:cs="Arial"/>
                      <w:b/>
                      <w:bCs/>
                      <w:lang w:val="en-US"/>
                    </w:rPr>
                    <w:t>Effect mechanism</w:t>
                  </w:r>
                </w:p>
              </w:tc>
              <w:tc>
                <w:tcPr>
                  <w:tcW w:w="2268" w:type="dxa"/>
                </w:tcPr>
                <w:p w14:paraId="482B47AD" w14:textId="1015F4D5" w:rsidR="006E19D3" w:rsidRPr="009246FF" w:rsidRDefault="006E19D3" w:rsidP="006E19D3">
                  <w:pPr>
                    <w:pStyle w:val="NoSpacing"/>
                    <w:rPr>
                      <w:rFonts w:ascii="Arial" w:hAnsi="Arial" w:cs="Arial"/>
                      <w:lang w:val="en-US"/>
                    </w:rPr>
                  </w:pPr>
                  <w:r w:rsidRPr="009246FF">
                    <w:rPr>
                      <w:rFonts w:ascii="Arial" w:hAnsi="Arial" w:cs="Arial"/>
                      <w:b/>
                      <w:bCs/>
                      <w:lang w:val="en-US"/>
                    </w:rPr>
                    <w:t xml:space="preserve">Impact pathway/Zone of influence </w:t>
                  </w:r>
                </w:p>
              </w:tc>
              <w:tc>
                <w:tcPr>
                  <w:tcW w:w="5553" w:type="dxa"/>
                </w:tcPr>
                <w:p w14:paraId="3F699BBA" w14:textId="355E55F6" w:rsidR="006E19D3" w:rsidRPr="009246FF" w:rsidRDefault="006E19D3" w:rsidP="006E19D3">
                  <w:pPr>
                    <w:pStyle w:val="NoSpacing"/>
                    <w:rPr>
                      <w:rFonts w:ascii="Arial" w:hAnsi="Arial" w:cs="Arial"/>
                    </w:rPr>
                  </w:pPr>
                  <w:r w:rsidRPr="009246FF">
                    <w:rPr>
                      <w:rFonts w:ascii="Arial" w:hAnsi="Arial" w:cs="Arial"/>
                      <w:b/>
                      <w:bCs/>
                      <w:lang w:val="en-US"/>
                    </w:rPr>
                    <w:t>Qualifying interest features at risk</w:t>
                  </w:r>
                </w:p>
              </w:tc>
            </w:tr>
            <w:tr w:rsidR="006E19D3" w:rsidRPr="009246FF" w14:paraId="266DDBC3" w14:textId="77777777" w:rsidTr="008C7939">
              <w:tc>
                <w:tcPr>
                  <w:tcW w:w="1020" w:type="dxa"/>
                </w:tcPr>
                <w:p w14:paraId="3441DA26" w14:textId="77777777" w:rsidR="006E19D3" w:rsidRPr="009246FF" w:rsidRDefault="006E19D3" w:rsidP="006E19D3">
                  <w:pPr>
                    <w:pStyle w:val="NoSpacing"/>
                    <w:rPr>
                      <w:rFonts w:ascii="Arial" w:hAnsi="Arial" w:cs="Arial"/>
                      <w:lang w:val="en-US"/>
                    </w:rPr>
                  </w:pPr>
                </w:p>
              </w:tc>
              <w:tc>
                <w:tcPr>
                  <w:tcW w:w="2268" w:type="dxa"/>
                </w:tcPr>
                <w:p w14:paraId="5D5AAAE9" w14:textId="4AAD15D0" w:rsidR="006E19D3" w:rsidRPr="009246FF" w:rsidRDefault="00A3584E" w:rsidP="006E19D3">
                  <w:pPr>
                    <w:pStyle w:val="NoSpacing"/>
                    <w:rPr>
                      <w:rFonts w:ascii="Arial" w:hAnsi="Arial" w:cs="Arial"/>
                      <w:lang w:val="en-US"/>
                    </w:rPr>
                  </w:pPr>
                  <w:r w:rsidRPr="009246FF">
                    <w:rPr>
                      <w:rFonts w:ascii="Arial" w:hAnsi="Arial" w:cs="Arial"/>
                    </w:rPr>
                    <w:t>106km northwest, 134km hydrological connection</w:t>
                  </w:r>
                </w:p>
              </w:tc>
              <w:tc>
                <w:tcPr>
                  <w:tcW w:w="5553" w:type="dxa"/>
                </w:tcPr>
                <w:p w14:paraId="3D2DFFED" w14:textId="05E9DFC4" w:rsidR="007250DF" w:rsidRPr="009246FF" w:rsidRDefault="007250DF" w:rsidP="005A786F">
                  <w:pPr>
                    <w:pStyle w:val="NoSpacing"/>
                    <w:rPr>
                      <w:rFonts w:ascii="Arial" w:hAnsi="Arial" w:cs="Arial"/>
                    </w:rPr>
                  </w:pPr>
                  <w:r w:rsidRPr="009246FF">
                    <w:rPr>
                      <w:rFonts w:ascii="Arial" w:hAnsi="Arial" w:cs="Arial"/>
                    </w:rPr>
                    <w:t>Reefs [1170]</w:t>
                  </w:r>
                  <w:r w:rsidR="00E43224" w:rsidRPr="009246FF">
                    <w:rPr>
                      <w:rFonts w:ascii="Arial" w:hAnsi="Arial" w:cs="Arial"/>
                    </w:rPr>
                    <w:t xml:space="preserve"> </w:t>
                  </w:r>
                  <w:r w:rsidR="00E43224" w:rsidRPr="009246FF">
                    <w:rPr>
                      <w:rFonts w:ascii="Arial" w:hAnsi="Arial" w:cs="Arial"/>
                      <w:b/>
                    </w:rPr>
                    <w:t>M</w:t>
                  </w:r>
                </w:p>
                <w:p w14:paraId="6A63982D" w14:textId="121259DE" w:rsidR="007250DF" w:rsidRPr="009246FF" w:rsidRDefault="007250DF" w:rsidP="005A786F">
                  <w:pPr>
                    <w:pStyle w:val="NoSpacing"/>
                    <w:rPr>
                      <w:rFonts w:ascii="Arial" w:hAnsi="Arial" w:cs="Arial"/>
                    </w:rPr>
                  </w:pPr>
                  <w:r w:rsidRPr="009246FF">
                    <w:rPr>
                      <w:rFonts w:ascii="Arial" w:hAnsi="Arial" w:cs="Arial"/>
                    </w:rPr>
                    <w:t xml:space="preserve">Halichoerus </w:t>
                  </w:r>
                  <w:proofErr w:type="spellStart"/>
                  <w:r w:rsidRPr="009246FF">
                    <w:rPr>
                      <w:rFonts w:ascii="Arial" w:hAnsi="Arial" w:cs="Arial"/>
                    </w:rPr>
                    <w:t>grypus</w:t>
                  </w:r>
                  <w:proofErr w:type="spellEnd"/>
                  <w:r w:rsidRPr="009246FF">
                    <w:rPr>
                      <w:rFonts w:ascii="Arial" w:hAnsi="Arial" w:cs="Arial"/>
                    </w:rPr>
                    <w:t xml:space="preserve"> (Grey Seal) [1364]</w:t>
                  </w:r>
                  <w:r w:rsidR="00A45E5F" w:rsidRPr="009246FF">
                    <w:rPr>
                      <w:rFonts w:ascii="Arial" w:hAnsi="Arial" w:cs="Arial"/>
                    </w:rPr>
                    <w:t xml:space="preserve"> </w:t>
                  </w:r>
                  <w:r w:rsidR="00A45E5F" w:rsidRPr="009246FF">
                    <w:rPr>
                      <w:rFonts w:ascii="Arial" w:hAnsi="Arial" w:cs="Arial"/>
                      <w:b/>
                    </w:rPr>
                    <w:t>M</w:t>
                  </w:r>
                </w:p>
                <w:p w14:paraId="7A5B94F1" w14:textId="77777777" w:rsidR="006E19D3" w:rsidRPr="009246FF" w:rsidRDefault="006E19D3" w:rsidP="006E19D3">
                  <w:pPr>
                    <w:pStyle w:val="NoSpacing"/>
                    <w:rPr>
                      <w:rFonts w:ascii="Arial" w:hAnsi="Arial" w:cs="Arial"/>
                    </w:rPr>
                  </w:pPr>
                </w:p>
              </w:tc>
            </w:tr>
          </w:tbl>
          <w:p w14:paraId="56884783" w14:textId="77777777" w:rsidR="00F67065" w:rsidRPr="009246FF" w:rsidRDefault="00F67065" w:rsidP="00424F6E">
            <w:pPr>
              <w:jc w:val="both"/>
              <w:rPr>
                <w:rFonts w:ascii="Arial" w:hAnsi="Arial" w:cs="Arial"/>
                <w:lang w:val="en-US"/>
              </w:rPr>
            </w:pPr>
          </w:p>
        </w:tc>
      </w:tr>
      <w:tr w:rsidR="00F67065" w:rsidRPr="00143A6E" w14:paraId="6DE01F4A" w14:textId="77777777" w:rsidTr="00E46848">
        <w:tc>
          <w:tcPr>
            <w:tcW w:w="9067" w:type="dxa"/>
          </w:tcPr>
          <w:p w14:paraId="4F03F6B8" w14:textId="77777777" w:rsidR="00F67065" w:rsidRPr="009246FF" w:rsidRDefault="00F67065" w:rsidP="00424F6E">
            <w:pPr>
              <w:jc w:val="both"/>
              <w:rPr>
                <w:rFonts w:ascii="Arial" w:hAnsi="Arial" w:cs="Arial"/>
                <w:b/>
                <w:bCs/>
                <w:lang w:val="en-US"/>
              </w:rPr>
            </w:pPr>
          </w:p>
          <w:p w14:paraId="124938E1" w14:textId="77777777" w:rsidR="00B76794" w:rsidRPr="009246FF" w:rsidRDefault="00B76794" w:rsidP="00424F6E">
            <w:pPr>
              <w:jc w:val="both"/>
              <w:rPr>
                <w:rFonts w:ascii="Arial" w:hAnsi="Arial" w:cs="Arial"/>
                <w:b/>
                <w:bCs/>
                <w:lang w:val="en-US"/>
              </w:rPr>
            </w:pPr>
          </w:p>
          <w:p w14:paraId="1301ABA0" w14:textId="77777777" w:rsidR="00B76794" w:rsidRPr="009246FF" w:rsidRDefault="00B76794" w:rsidP="00424F6E">
            <w:pPr>
              <w:jc w:val="both"/>
              <w:rPr>
                <w:rFonts w:ascii="Arial" w:hAnsi="Arial" w:cs="Arial"/>
                <w:b/>
                <w:bCs/>
                <w:lang w:val="en-US"/>
              </w:rPr>
            </w:pPr>
          </w:p>
          <w:p w14:paraId="28C97E0E" w14:textId="77777777" w:rsidR="00B76794" w:rsidRPr="009246FF" w:rsidRDefault="00B76794" w:rsidP="00424F6E">
            <w:pPr>
              <w:jc w:val="both"/>
              <w:rPr>
                <w:rFonts w:ascii="Arial" w:hAnsi="Arial" w:cs="Arial"/>
                <w:b/>
                <w:bCs/>
                <w:lang w:val="en-US"/>
              </w:rPr>
            </w:pPr>
          </w:p>
          <w:p w14:paraId="36E793F0" w14:textId="77777777" w:rsidR="00B76794" w:rsidRPr="009246FF" w:rsidRDefault="00B76794" w:rsidP="00424F6E">
            <w:pPr>
              <w:jc w:val="both"/>
              <w:rPr>
                <w:rFonts w:ascii="Arial" w:hAnsi="Arial" w:cs="Arial"/>
                <w:b/>
                <w:bCs/>
                <w:lang w:val="en-US"/>
              </w:rPr>
            </w:pPr>
          </w:p>
          <w:p w14:paraId="661CC716" w14:textId="77777777" w:rsidR="00F67065" w:rsidRPr="009246FF" w:rsidRDefault="00F67065" w:rsidP="00424F6E">
            <w:pPr>
              <w:jc w:val="both"/>
              <w:rPr>
                <w:rFonts w:ascii="Arial" w:hAnsi="Arial" w:cs="Arial"/>
                <w:lang w:val="en-US"/>
              </w:rPr>
            </w:pPr>
            <w:r w:rsidRPr="009246FF">
              <w:rPr>
                <w:rFonts w:ascii="Arial" w:hAnsi="Arial" w:cs="Arial"/>
                <w:b/>
                <w:bCs/>
                <w:lang w:val="en-US"/>
              </w:rPr>
              <w:t>Step 4: Likely significant effects on the European site(s) ‘alone’</w:t>
            </w:r>
          </w:p>
          <w:p w14:paraId="52244BCA" w14:textId="77777777" w:rsidR="00F67065" w:rsidRPr="009246FF" w:rsidRDefault="00F67065" w:rsidP="00424F6E">
            <w:pPr>
              <w:jc w:val="both"/>
              <w:rPr>
                <w:rFonts w:ascii="Arial" w:hAnsi="Arial" w:cs="Arial"/>
                <w:lang w:val="en-US"/>
              </w:rPr>
            </w:pPr>
          </w:p>
          <w:tbl>
            <w:tblPr>
              <w:tblStyle w:val="TableGrid"/>
              <w:tblW w:w="0" w:type="auto"/>
              <w:tblLook w:val="04A0" w:firstRow="1" w:lastRow="0" w:firstColumn="1" w:lastColumn="0" w:noHBand="0" w:noVBand="1"/>
            </w:tblPr>
            <w:tblGrid>
              <w:gridCol w:w="1255"/>
              <w:gridCol w:w="4603"/>
              <w:gridCol w:w="1079"/>
              <w:gridCol w:w="914"/>
              <w:gridCol w:w="990"/>
            </w:tblGrid>
            <w:tr w:rsidR="00F67065" w:rsidRPr="009246FF" w14:paraId="2170A8C6" w14:textId="77777777" w:rsidTr="0030658E">
              <w:trPr>
                <w:cantSplit/>
                <w:trHeight w:val="597"/>
              </w:trPr>
              <w:tc>
                <w:tcPr>
                  <w:tcW w:w="8841" w:type="dxa"/>
                  <w:gridSpan w:val="5"/>
                  <w:shd w:val="clear" w:color="auto" w:fill="EDEDED" w:themeFill="accent3" w:themeFillTint="33"/>
                  <w:vAlign w:val="center"/>
                </w:tcPr>
                <w:p w14:paraId="68944C98" w14:textId="01E47373" w:rsidR="00130EE0" w:rsidRPr="009246FF" w:rsidRDefault="00F67065" w:rsidP="00424F6E">
                  <w:pPr>
                    <w:jc w:val="both"/>
                    <w:rPr>
                      <w:rFonts w:ascii="Arial" w:hAnsi="Arial" w:cs="Arial"/>
                      <w:b/>
                      <w:bCs/>
                      <w:lang w:val="en-US"/>
                    </w:rPr>
                  </w:pPr>
                  <w:r w:rsidRPr="009246FF">
                    <w:rPr>
                      <w:rFonts w:ascii="Arial" w:hAnsi="Arial" w:cs="Arial"/>
                      <w:b/>
                      <w:bCs/>
                      <w:lang w:val="en-US"/>
                    </w:rPr>
                    <w:t>Table 2: Could the project undermine the conservation objectives ‘</w:t>
                  </w:r>
                  <w:proofErr w:type="gramStart"/>
                  <w:r w:rsidRPr="009246FF">
                    <w:rPr>
                      <w:rFonts w:ascii="Arial" w:hAnsi="Arial" w:cs="Arial"/>
                      <w:b/>
                      <w:bCs/>
                      <w:lang w:val="en-US"/>
                    </w:rPr>
                    <w:t>alone</w:t>
                  </w:r>
                  <w:proofErr w:type="gramEnd"/>
                  <w:r w:rsidRPr="009246FF">
                    <w:rPr>
                      <w:rFonts w:ascii="Arial" w:hAnsi="Arial" w:cs="Arial"/>
                      <w:b/>
                      <w:bCs/>
                      <w:lang w:val="en-US"/>
                    </w:rPr>
                    <w:t>’</w:t>
                  </w:r>
                </w:p>
                <w:p w14:paraId="557C6D0F" w14:textId="6ED1281B" w:rsidR="00130EE0" w:rsidRPr="009246FF" w:rsidRDefault="00130EE0" w:rsidP="00130EE0">
                  <w:pPr>
                    <w:jc w:val="both"/>
                    <w:rPr>
                      <w:rFonts w:ascii="Arial" w:hAnsi="Arial" w:cs="Arial"/>
                      <w:b/>
                      <w:bCs/>
                      <w:lang w:val="en-US"/>
                    </w:rPr>
                  </w:pPr>
                </w:p>
              </w:tc>
            </w:tr>
            <w:tr w:rsidR="00F67065" w:rsidRPr="009246FF" w14:paraId="106FDE44" w14:textId="77777777" w:rsidTr="001E798B">
              <w:trPr>
                <w:cantSplit/>
                <w:trHeight w:val="487"/>
              </w:trPr>
              <w:tc>
                <w:tcPr>
                  <w:tcW w:w="1207" w:type="dxa"/>
                  <w:vMerge w:val="restart"/>
                  <w:shd w:val="clear" w:color="auto" w:fill="D9D9D9" w:themeFill="background1" w:themeFillShade="D9"/>
                  <w:vAlign w:val="center"/>
                </w:tcPr>
                <w:p w14:paraId="7A0782FA" w14:textId="77777777" w:rsidR="00F67065" w:rsidRPr="009246FF" w:rsidRDefault="00F67065" w:rsidP="00424F6E">
                  <w:pPr>
                    <w:jc w:val="both"/>
                    <w:rPr>
                      <w:rFonts w:ascii="Arial" w:hAnsi="Arial" w:cs="Arial"/>
                      <w:b/>
                      <w:bCs/>
                      <w:lang w:val="en-US"/>
                    </w:rPr>
                  </w:pPr>
                  <w:r w:rsidRPr="009246FF">
                    <w:rPr>
                      <w:rFonts w:ascii="Arial" w:hAnsi="Arial" w:cs="Arial"/>
                      <w:b/>
                      <w:bCs/>
                      <w:lang w:val="en-US"/>
                    </w:rPr>
                    <w:t>European Site and qualifying feature</w:t>
                  </w:r>
                </w:p>
              </w:tc>
              <w:tc>
                <w:tcPr>
                  <w:tcW w:w="4633" w:type="dxa"/>
                  <w:vMerge w:val="restart"/>
                  <w:shd w:val="clear" w:color="auto" w:fill="D9D9D9" w:themeFill="background1" w:themeFillShade="D9"/>
                  <w:vAlign w:val="center"/>
                </w:tcPr>
                <w:p w14:paraId="533F0F29" w14:textId="77777777" w:rsidR="00154820" w:rsidRPr="009246FF" w:rsidRDefault="00154820" w:rsidP="00154820">
                  <w:pPr>
                    <w:pStyle w:val="NoSpacing"/>
                    <w:rPr>
                      <w:rFonts w:ascii="Arial" w:hAnsi="Arial" w:cs="Arial"/>
                      <w:b/>
                      <w:bCs/>
                    </w:rPr>
                  </w:pPr>
                  <w:r w:rsidRPr="009246FF">
                    <w:rPr>
                      <w:rFonts w:ascii="Arial" w:hAnsi="Arial" w:cs="Arial"/>
                      <w:b/>
                      <w:bCs/>
                    </w:rPr>
                    <w:t>Conservation objectives:</w:t>
                  </w:r>
                </w:p>
                <w:p w14:paraId="3D2B1ACF" w14:textId="77777777" w:rsidR="00AD22C7" w:rsidRPr="009246FF" w:rsidRDefault="00154820" w:rsidP="00154820">
                  <w:pPr>
                    <w:pStyle w:val="NoSpacing"/>
                    <w:jc w:val="both"/>
                    <w:rPr>
                      <w:rFonts w:ascii="Arial" w:hAnsi="Arial" w:cs="Arial"/>
                      <w:b/>
                      <w:bCs/>
                    </w:rPr>
                  </w:pPr>
                  <w:r w:rsidRPr="009246FF">
                    <w:rPr>
                      <w:rFonts w:ascii="Arial" w:hAnsi="Arial" w:cs="Arial"/>
                    </w:rPr>
                    <w:t xml:space="preserve">To maintain favourable conservation condition </w:t>
                  </w:r>
                  <w:r w:rsidRPr="009246FF">
                    <w:rPr>
                      <w:rFonts w:ascii="Arial" w:hAnsi="Arial" w:cs="Arial"/>
                      <w:b/>
                      <w:bCs/>
                    </w:rPr>
                    <w:t xml:space="preserve">M </w:t>
                  </w:r>
                </w:p>
                <w:p w14:paraId="39B04773" w14:textId="77777777" w:rsidR="00D65601" w:rsidRPr="009246FF" w:rsidRDefault="00D65601" w:rsidP="00D65601">
                  <w:pPr>
                    <w:jc w:val="both"/>
                    <w:rPr>
                      <w:rFonts w:ascii="Arial" w:hAnsi="Arial" w:cs="Arial"/>
                      <w:b/>
                      <w:bCs/>
                    </w:rPr>
                  </w:pPr>
                  <w:r w:rsidRPr="009246FF">
                    <w:rPr>
                      <w:rFonts w:ascii="Arial" w:hAnsi="Arial" w:cs="Arial"/>
                    </w:rPr>
                    <w:t xml:space="preserve">To restore favourable conservation condition </w:t>
                  </w:r>
                  <w:r w:rsidRPr="009246FF">
                    <w:rPr>
                      <w:rFonts w:ascii="Arial" w:hAnsi="Arial" w:cs="Arial"/>
                      <w:b/>
                      <w:bCs/>
                    </w:rPr>
                    <w:t>R</w:t>
                  </w:r>
                </w:p>
                <w:p w14:paraId="598C8AFD" w14:textId="3AB1CEDC" w:rsidR="00D65601" w:rsidRPr="009246FF" w:rsidRDefault="00000000" w:rsidP="00D65601">
                  <w:pPr>
                    <w:pStyle w:val="NoSpacing"/>
                    <w:jc w:val="both"/>
                    <w:rPr>
                      <w:rFonts w:ascii="Arial" w:hAnsi="Arial" w:cs="Arial"/>
                      <w:b/>
                      <w:bCs/>
                      <w:lang w:val="en-US"/>
                    </w:rPr>
                  </w:pPr>
                  <w:hyperlink r:id="rId20" w:history="1">
                    <w:proofErr w:type="spellStart"/>
                    <w:r w:rsidR="00D65601" w:rsidRPr="009246FF">
                      <w:rPr>
                        <w:rStyle w:val="Hyperlink"/>
                        <w:rFonts w:ascii="Arial" w:hAnsi="Arial" w:cs="Arial"/>
                      </w:rPr>
                      <w:t>Site_specific_cons_obj</w:t>
                    </w:r>
                    <w:proofErr w:type="spellEnd"/>
                    <w:r w:rsidR="00D65601" w:rsidRPr="009246FF">
                      <w:rPr>
                        <w:rStyle w:val="Hyperlink"/>
                        <w:rFonts w:ascii="Arial" w:hAnsi="Arial" w:cs="Arial"/>
                      </w:rPr>
                      <w:t xml:space="preserve"> (npws.ie)</w:t>
                    </w:r>
                  </w:hyperlink>
                </w:p>
              </w:tc>
              <w:tc>
                <w:tcPr>
                  <w:tcW w:w="3001" w:type="dxa"/>
                  <w:gridSpan w:val="3"/>
                  <w:shd w:val="clear" w:color="auto" w:fill="D9D9D9" w:themeFill="background1" w:themeFillShade="D9"/>
                </w:tcPr>
                <w:p w14:paraId="7FBCFE2C" w14:textId="77777777" w:rsidR="00F67065" w:rsidRPr="009246FF" w:rsidRDefault="00F67065" w:rsidP="00424F6E">
                  <w:pPr>
                    <w:jc w:val="both"/>
                    <w:rPr>
                      <w:rFonts w:ascii="Arial" w:hAnsi="Arial" w:cs="Arial"/>
                      <w:b/>
                      <w:bCs/>
                      <w:lang w:val="en-US"/>
                    </w:rPr>
                  </w:pPr>
                  <w:r w:rsidRPr="009246FF">
                    <w:rPr>
                      <w:rFonts w:ascii="Arial" w:hAnsi="Arial" w:cs="Arial"/>
                      <w:b/>
                      <w:bCs/>
                      <w:lang w:val="en-US"/>
                    </w:rPr>
                    <w:t>Could the conservation objectives be undermined (Y/N)?</w:t>
                  </w:r>
                </w:p>
              </w:tc>
            </w:tr>
            <w:tr w:rsidR="00C40B03" w:rsidRPr="009246FF" w14:paraId="3D537E3B" w14:textId="77777777" w:rsidTr="001E798B">
              <w:trPr>
                <w:cantSplit/>
                <w:trHeight w:val="1617"/>
              </w:trPr>
              <w:tc>
                <w:tcPr>
                  <w:tcW w:w="1207" w:type="dxa"/>
                  <w:vMerge/>
                  <w:vAlign w:val="center"/>
                </w:tcPr>
                <w:p w14:paraId="2EAE88FB" w14:textId="77777777" w:rsidR="009F5697" w:rsidRPr="009246FF" w:rsidRDefault="009F5697" w:rsidP="00424F6E">
                  <w:pPr>
                    <w:jc w:val="both"/>
                    <w:rPr>
                      <w:rFonts w:ascii="Arial" w:hAnsi="Arial" w:cs="Arial"/>
                      <w:b/>
                      <w:bCs/>
                      <w:lang w:val="en-US"/>
                    </w:rPr>
                  </w:pPr>
                </w:p>
              </w:tc>
              <w:tc>
                <w:tcPr>
                  <w:tcW w:w="4633" w:type="dxa"/>
                  <w:vMerge/>
                  <w:shd w:val="clear" w:color="auto" w:fill="D9D9D9" w:themeFill="background1" w:themeFillShade="D9"/>
                  <w:vAlign w:val="center"/>
                </w:tcPr>
                <w:p w14:paraId="78C9DA73" w14:textId="77777777" w:rsidR="009F5697" w:rsidRPr="009246FF" w:rsidRDefault="009F5697" w:rsidP="00424F6E">
                  <w:pPr>
                    <w:jc w:val="both"/>
                    <w:rPr>
                      <w:rFonts w:ascii="Arial" w:hAnsi="Arial" w:cs="Arial"/>
                      <w:b/>
                      <w:bCs/>
                      <w:lang w:val="en-US"/>
                    </w:rPr>
                  </w:pPr>
                </w:p>
              </w:tc>
              <w:tc>
                <w:tcPr>
                  <w:tcW w:w="1086" w:type="dxa"/>
                  <w:shd w:val="clear" w:color="auto" w:fill="D9D9D9" w:themeFill="background1" w:themeFillShade="D9"/>
                  <w:textDirection w:val="btLr"/>
                </w:tcPr>
                <w:p w14:paraId="72CE62BD" w14:textId="5B612EB1" w:rsidR="009F5697" w:rsidRPr="009246FF" w:rsidRDefault="009F5697" w:rsidP="00117EB4">
                  <w:pPr>
                    <w:ind w:left="113" w:right="113"/>
                    <w:rPr>
                      <w:rFonts w:ascii="Arial" w:hAnsi="Arial" w:cs="Arial"/>
                      <w:b/>
                      <w:bCs/>
                      <w:lang w:val="en-US"/>
                    </w:rPr>
                  </w:pPr>
                  <w:r w:rsidRPr="009246FF">
                    <w:rPr>
                      <w:rFonts w:ascii="Arial" w:hAnsi="Arial" w:cs="Arial"/>
                      <w:b/>
                      <w:bCs/>
                      <w:lang w:val="en-US"/>
                    </w:rPr>
                    <w:t>Effect A</w:t>
                  </w:r>
                  <w:r w:rsidR="00C667BF" w:rsidRPr="009246FF">
                    <w:rPr>
                      <w:rFonts w:ascii="Arial" w:hAnsi="Arial" w:cs="Arial"/>
                      <w:b/>
                      <w:bCs/>
                      <w:lang w:val="en-US"/>
                    </w:rPr>
                    <w:t xml:space="preserve"> – Noise/Lighting</w:t>
                  </w:r>
                  <w:r w:rsidR="00AD22C7" w:rsidRPr="009246FF">
                    <w:rPr>
                      <w:rFonts w:ascii="Arial" w:hAnsi="Arial" w:cs="Arial"/>
                      <w:b/>
                      <w:bCs/>
                      <w:lang w:val="en-US"/>
                    </w:rPr>
                    <w:t>/ Vibration</w:t>
                  </w:r>
                </w:p>
              </w:tc>
              <w:tc>
                <w:tcPr>
                  <w:tcW w:w="919" w:type="dxa"/>
                  <w:shd w:val="clear" w:color="auto" w:fill="D9D9D9" w:themeFill="background1" w:themeFillShade="D9"/>
                  <w:textDirection w:val="btLr"/>
                </w:tcPr>
                <w:p w14:paraId="72AEDB54" w14:textId="33FF851D" w:rsidR="009F5697" w:rsidRPr="009246FF" w:rsidRDefault="009F5697" w:rsidP="00117EB4">
                  <w:pPr>
                    <w:ind w:left="113" w:right="113"/>
                    <w:rPr>
                      <w:rFonts w:ascii="Arial" w:hAnsi="Arial" w:cs="Arial"/>
                      <w:b/>
                      <w:bCs/>
                      <w:lang w:val="en-US"/>
                    </w:rPr>
                  </w:pPr>
                  <w:r w:rsidRPr="009246FF">
                    <w:rPr>
                      <w:rFonts w:ascii="Arial" w:hAnsi="Arial" w:cs="Arial"/>
                      <w:b/>
                      <w:bCs/>
                      <w:lang w:val="en-US"/>
                    </w:rPr>
                    <w:t>Effect B</w:t>
                  </w:r>
                  <w:r w:rsidR="00C667BF" w:rsidRPr="009246FF">
                    <w:rPr>
                      <w:rFonts w:ascii="Arial" w:hAnsi="Arial" w:cs="Arial"/>
                      <w:b/>
                      <w:bCs/>
                      <w:lang w:val="en-US"/>
                    </w:rPr>
                    <w:t xml:space="preserve"> – Surface Water</w:t>
                  </w:r>
                  <w:r w:rsidR="00C949CF" w:rsidRPr="009246FF">
                    <w:rPr>
                      <w:rFonts w:ascii="Arial" w:hAnsi="Arial" w:cs="Arial"/>
                      <w:b/>
                      <w:bCs/>
                      <w:lang w:val="en-US"/>
                    </w:rPr>
                    <w:t xml:space="preserve"> Run</w:t>
                  </w:r>
                  <w:r w:rsidR="00CA24B3" w:rsidRPr="009246FF">
                    <w:rPr>
                      <w:rFonts w:ascii="Arial" w:hAnsi="Arial" w:cs="Arial"/>
                      <w:b/>
                      <w:bCs/>
                      <w:lang w:val="en-US"/>
                    </w:rPr>
                    <w:t>-Off</w:t>
                  </w:r>
                </w:p>
              </w:tc>
              <w:tc>
                <w:tcPr>
                  <w:tcW w:w="996" w:type="dxa"/>
                  <w:shd w:val="clear" w:color="auto" w:fill="D9D9D9" w:themeFill="background1" w:themeFillShade="D9"/>
                  <w:textDirection w:val="btLr"/>
                </w:tcPr>
                <w:p w14:paraId="4394C4ED" w14:textId="7AD3F519" w:rsidR="009F5697" w:rsidRPr="009246FF" w:rsidRDefault="009F5697" w:rsidP="00117EB4">
                  <w:pPr>
                    <w:ind w:left="113" w:right="113"/>
                    <w:rPr>
                      <w:rFonts w:ascii="Arial" w:hAnsi="Arial" w:cs="Arial"/>
                      <w:b/>
                      <w:bCs/>
                      <w:lang w:val="en-US"/>
                    </w:rPr>
                  </w:pPr>
                  <w:r w:rsidRPr="009246FF">
                    <w:rPr>
                      <w:rFonts w:ascii="Arial" w:hAnsi="Arial" w:cs="Arial"/>
                      <w:b/>
                      <w:bCs/>
                      <w:lang w:val="en-US"/>
                    </w:rPr>
                    <w:t>Effect C</w:t>
                  </w:r>
                  <w:r w:rsidR="00C667BF" w:rsidRPr="009246FF">
                    <w:rPr>
                      <w:rFonts w:ascii="Arial" w:hAnsi="Arial" w:cs="Arial"/>
                      <w:b/>
                      <w:bCs/>
                      <w:lang w:val="en-US"/>
                    </w:rPr>
                    <w:t xml:space="preserve"> – Accident</w:t>
                  </w:r>
                  <w:r w:rsidR="00862ED3" w:rsidRPr="009246FF">
                    <w:rPr>
                      <w:rFonts w:ascii="Arial" w:hAnsi="Arial" w:cs="Arial"/>
                      <w:b/>
                      <w:bCs/>
                      <w:lang w:val="en-US"/>
                    </w:rPr>
                    <w:t>al Spillage</w:t>
                  </w:r>
                </w:p>
              </w:tc>
            </w:tr>
            <w:tr w:rsidR="008A227E" w:rsidRPr="009246FF" w14:paraId="684C4969" w14:textId="77777777" w:rsidTr="00B41D78">
              <w:trPr>
                <w:trHeight w:val="310"/>
              </w:trPr>
              <w:tc>
                <w:tcPr>
                  <w:tcW w:w="1207" w:type="dxa"/>
                  <w:vMerge w:val="restart"/>
                </w:tcPr>
                <w:p w14:paraId="2EF0113E" w14:textId="77777777" w:rsidR="008A227E" w:rsidRPr="009246FF" w:rsidRDefault="008A227E" w:rsidP="00833D72">
                  <w:pPr>
                    <w:pStyle w:val="NoSpacing"/>
                    <w:rPr>
                      <w:rFonts w:ascii="Arial" w:hAnsi="Arial" w:cs="Arial"/>
                      <w:b/>
                      <w:bCs/>
                    </w:rPr>
                  </w:pPr>
                  <w:r w:rsidRPr="009246FF">
                    <w:rPr>
                      <w:rFonts w:ascii="Arial" w:hAnsi="Arial" w:cs="Arial"/>
                      <w:b/>
                      <w:bCs/>
                    </w:rPr>
                    <w:t>River Shannon and River Fergus Estuaries SPA (004077) – Located Directly Adjacent to Site</w:t>
                  </w:r>
                </w:p>
                <w:p w14:paraId="471E77DF" w14:textId="77777777" w:rsidR="008A227E" w:rsidRPr="009246FF" w:rsidRDefault="008A227E" w:rsidP="00833D72">
                  <w:pPr>
                    <w:jc w:val="both"/>
                    <w:rPr>
                      <w:rFonts w:ascii="Arial" w:hAnsi="Arial" w:cs="Arial"/>
                      <w:lang w:val="en-US"/>
                    </w:rPr>
                  </w:pPr>
                </w:p>
              </w:tc>
              <w:tc>
                <w:tcPr>
                  <w:tcW w:w="4633" w:type="dxa"/>
                </w:tcPr>
                <w:p w14:paraId="76E98910" w14:textId="43F2169B" w:rsidR="008A227E" w:rsidRPr="009246FF" w:rsidRDefault="008A227E" w:rsidP="005355F5">
                  <w:pPr>
                    <w:pStyle w:val="NoSpacing"/>
                    <w:jc w:val="both"/>
                    <w:rPr>
                      <w:rFonts w:ascii="Arial" w:hAnsi="Arial" w:cs="Arial"/>
                    </w:rPr>
                  </w:pPr>
                  <w:r w:rsidRPr="009246FF">
                    <w:rPr>
                      <w:rFonts w:ascii="Arial" w:hAnsi="Arial" w:cs="Arial"/>
                    </w:rPr>
                    <w:t xml:space="preserve">Cormorant </w:t>
                  </w:r>
                  <w:r w:rsidRPr="009246FF">
                    <w:rPr>
                      <w:rFonts w:ascii="Arial" w:hAnsi="Arial" w:cs="Arial"/>
                      <w:i/>
                      <w:iCs/>
                    </w:rPr>
                    <w:t xml:space="preserve">Phalacrocorax carbo </w:t>
                  </w:r>
                  <w:r w:rsidRPr="009246FF">
                    <w:rPr>
                      <w:rFonts w:ascii="Arial" w:hAnsi="Arial" w:cs="Arial"/>
                    </w:rPr>
                    <w:t xml:space="preserve">(A017) </w:t>
                  </w:r>
                  <w:r w:rsidRPr="009246FF">
                    <w:rPr>
                      <w:rFonts w:ascii="Arial" w:hAnsi="Arial" w:cs="Arial"/>
                      <w:b/>
                    </w:rPr>
                    <w:t>M</w:t>
                  </w:r>
                  <w:r w:rsidRPr="009246FF">
                    <w:rPr>
                      <w:rFonts w:ascii="Arial" w:hAnsi="Arial" w:cs="Arial"/>
                    </w:rPr>
                    <w:t xml:space="preserve"> </w:t>
                  </w:r>
                </w:p>
              </w:tc>
              <w:tc>
                <w:tcPr>
                  <w:tcW w:w="1086" w:type="dxa"/>
                </w:tcPr>
                <w:p w14:paraId="783C2FF5" w14:textId="14D338BA" w:rsidR="008A227E" w:rsidRPr="009246FF" w:rsidRDefault="008A227E" w:rsidP="00833D72">
                  <w:pPr>
                    <w:jc w:val="both"/>
                    <w:rPr>
                      <w:rFonts w:ascii="Arial" w:hAnsi="Arial" w:cs="Arial"/>
                      <w:lang w:val="en-US"/>
                    </w:rPr>
                  </w:pPr>
                  <w:r w:rsidRPr="009246FF">
                    <w:rPr>
                      <w:rFonts w:ascii="Arial" w:hAnsi="Arial" w:cs="Arial"/>
                      <w:lang w:val="en-US"/>
                    </w:rPr>
                    <w:t>Y</w:t>
                  </w:r>
                </w:p>
              </w:tc>
              <w:tc>
                <w:tcPr>
                  <w:tcW w:w="919" w:type="dxa"/>
                </w:tcPr>
                <w:p w14:paraId="3808C1AA" w14:textId="4B5D5843" w:rsidR="008A227E" w:rsidRPr="009246FF" w:rsidRDefault="008A227E" w:rsidP="00833D72">
                  <w:pPr>
                    <w:jc w:val="both"/>
                    <w:rPr>
                      <w:rFonts w:ascii="Arial" w:hAnsi="Arial" w:cs="Arial"/>
                      <w:lang w:val="en-US"/>
                    </w:rPr>
                  </w:pPr>
                  <w:r w:rsidRPr="009246FF">
                    <w:rPr>
                      <w:rFonts w:ascii="Arial" w:hAnsi="Arial" w:cs="Arial"/>
                      <w:lang w:val="en-US"/>
                    </w:rPr>
                    <w:t>N</w:t>
                  </w:r>
                </w:p>
              </w:tc>
              <w:tc>
                <w:tcPr>
                  <w:tcW w:w="996" w:type="dxa"/>
                </w:tcPr>
                <w:p w14:paraId="1D3729D3" w14:textId="6CC7225D" w:rsidR="008A227E" w:rsidRPr="009246FF" w:rsidRDefault="008A227E" w:rsidP="0064261F">
                  <w:pPr>
                    <w:jc w:val="both"/>
                    <w:rPr>
                      <w:rFonts w:ascii="Arial" w:hAnsi="Arial" w:cs="Arial"/>
                      <w:lang w:val="en-US"/>
                    </w:rPr>
                  </w:pPr>
                  <w:r w:rsidRPr="009246FF">
                    <w:rPr>
                      <w:rFonts w:ascii="Arial" w:hAnsi="Arial" w:cs="Arial"/>
                      <w:lang w:val="en-US"/>
                    </w:rPr>
                    <w:t>N</w:t>
                  </w:r>
                </w:p>
              </w:tc>
            </w:tr>
            <w:tr w:rsidR="008A227E" w:rsidRPr="009246FF" w14:paraId="23712610" w14:textId="77777777" w:rsidTr="00B41D78">
              <w:trPr>
                <w:trHeight w:val="273"/>
              </w:trPr>
              <w:tc>
                <w:tcPr>
                  <w:tcW w:w="1207" w:type="dxa"/>
                  <w:vMerge/>
                </w:tcPr>
                <w:p w14:paraId="3559E1F5" w14:textId="77777777" w:rsidR="008A227E" w:rsidRPr="009246FF" w:rsidRDefault="008A227E" w:rsidP="00833D72">
                  <w:pPr>
                    <w:pStyle w:val="NoSpacing"/>
                    <w:rPr>
                      <w:rFonts w:ascii="Arial" w:hAnsi="Arial" w:cs="Arial"/>
                      <w:b/>
                      <w:bCs/>
                    </w:rPr>
                  </w:pPr>
                </w:p>
              </w:tc>
              <w:tc>
                <w:tcPr>
                  <w:tcW w:w="4633" w:type="dxa"/>
                </w:tcPr>
                <w:p w14:paraId="543E48D2" w14:textId="567CE2D3" w:rsidR="008A227E" w:rsidRPr="009246FF" w:rsidRDefault="008A227E" w:rsidP="005355F5">
                  <w:pPr>
                    <w:pStyle w:val="NoSpacing"/>
                    <w:jc w:val="both"/>
                    <w:rPr>
                      <w:rFonts w:ascii="Arial" w:hAnsi="Arial" w:cs="Arial"/>
                    </w:rPr>
                  </w:pPr>
                  <w:r w:rsidRPr="009246FF">
                    <w:rPr>
                      <w:rFonts w:ascii="Arial" w:hAnsi="Arial" w:cs="Arial"/>
                    </w:rPr>
                    <w:t xml:space="preserve">Whopper Swan </w:t>
                  </w:r>
                  <w:r w:rsidRPr="009246FF">
                    <w:rPr>
                      <w:rFonts w:ascii="Arial" w:hAnsi="Arial" w:cs="Arial"/>
                      <w:i/>
                      <w:iCs/>
                    </w:rPr>
                    <w:t xml:space="preserve">Cygnus </w:t>
                  </w:r>
                  <w:proofErr w:type="spellStart"/>
                  <w:r w:rsidRPr="009246FF">
                    <w:rPr>
                      <w:rFonts w:ascii="Arial" w:hAnsi="Arial" w:cs="Arial"/>
                      <w:i/>
                      <w:iCs/>
                    </w:rPr>
                    <w:t>cygnus</w:t>
                  </w:r>
                  <w:proofErr w:type="spellEnd"/>
                  <w:r w:rsidRPr="009246FF">
                    <w:rPr>
                      <w:rFonts w:ascii="Arial" w:hAnsi="Arial" w:cs="Arial"/>
                    </w:rPr>
                    <w:t xml:space="preserve"> (A038) </w:t>
                  </w:r>
                  <w:r w:rsidRPr="009246FF">
                    <w:rPr>
                      <w:rFonts w:ascii="Arial" w:hAnsi="Arial" w:cs="Arial"/>
                      <w:b/>
                    </w:rPr>
                    <w:t>M</w:t>
                  </w:r>
                  <w:r w:rsidRPr="009246FF">
                    <w:rPr>
                      <w:rFonts w:ascii="Arial" w:hAnsi="Arial" w:cs="Arial"/>
                    </w:rPr>
                    <w:t xml:space="preserve"> </w:t>
                  </w:r>
                </w:p>
              </w:tc>
              <w:tc>
                <w:tcPr>
                  <w:tcW w:w="1086" w:type="dxa"/>
                </w:tcPr>
                <w:p w14:paraId="747C91CD" w14:textId="54D6B84D" w:rsidR="008A227E" w:rsidRPr="009246FF" w:rsidRDefault="008A227E" w:rsidP="008A227E">
                  <w:pPr>
                    <w:jc w:val="both"/>
                    <w:rPr>
                      <w:rFonts w:ascii="Arial" w:hAnsi="Arial" w:cs="Arial"/>
                      <w:lang w:val="en-US"/>
                    </w:rPr>
                  </w:pPr>
                  <w:r w:rsidRPr="009246FF">
                    <w:rPr>
                      <w:rFonts w:ascii="Arial" w:hAnsi="Arial" w:cs="Arial"/>
                      <w:lang w:val="en-US"/>
                    </w:rPr>
                    <w:t>Y</w:t>
                  </w:r>
                </w:p>
              </w:tc>
              <w:tc>
                <w:tcPr>
                  <w:tcW w:w="919" w:type="dxa"/>
                </w:tcPr>
                <w:p w14:paraId="69F26CCA" w14:textId="223D0319" w:rsidR="008A227E" w:rsidRPr="009246FF" w:rsidRDefault="008A227E" w:rsidP="008A227E">
                  <w:pPr>
                    <w:jc w:val="both"/>
                    <w:rPr>
                      <w:rFonts w:ascii="Arial" w:hAnsi="Arial" w:cs="Arial"/>
                      <w:lang w:val="en-US"/>
                    </w:rPr>
                  </w:pPr>
                  <w:r w:rsidRPr="009246FF">
                    <w:rPr>
                      <w:rFonts w:ascii="Arial" w:hAnsi="Arial" w:cs="Arial"/>
                      <w:lang w:val="en-US"/>
                    </w:rPr>
                    <w:t>N</w:t>
                  </w:r>
                </w:p>
              </w:tc>
              <w:tc>
                <w:tcPr>
                  <w:tcW w:w="996" w:type="dxa"/>
                </w:tcPr>
                <w:p w14:paraId="14448363" w14:textId="31F6B835" w:rsidR="008A227E" w:rsidRPr="009246FF" w:rsidRDefault="008A227E" w:rsidP="008A227E">
                  <w:pPr>
                    <w:jc w:val="both"/>
                    <w:rPr>
                      <w:rFonts w:ascii="Arial" w:hAnsi="Arial" w:cs="Arial"/>
                      <w:lang w:val="en-US"/>
                    </w:rPr>
                  </w:pPr>
                  <w:r w:rsidRPr="009246FF">
                    <w:rPr>
                      <w:rFonts w:ascii="Arial" w:hAnsi="Arial" w:cs="Arial"/>
                      <w:lang w:val="en-US"/>
                    </w:rPr>
                    <w:t>N</w:t>
                  </w:r>
                </w:p>
              </w:tc>
            </w:tr>
            <w:tr w:rsidR="008A227E" w:rsidRPr="009246FF" w14:paraId="1946C049" w14:textId="77777777" w:rsidTr="00B41D78">
              <w:trPr>
                <w:trHeight w:val="529"/>
              </w:trPr>
              <w:tc>
                <w:tcPr>
                  <w:tcW w:w="1207" w:type="dxa"/>
                  <w:vMerge/>
                </w:tcPr>
                <w:p w14:paraId="44D1FE87" w14:textId="77777777" w:rsidR="008A227E" w:rsidRPr="009246FF" w:rsidRDefault="008A227E" w:rsidP="00833D72">
                  <w:pPr>
                    <w:pStyle w:val="NoSpacing"/>
                    <w:rPr>
                      <w:rFonts w:ascii="Arial" w:hAnsi="Arial" w:cs="Arial"/>
                      <w:b/>
                      <w:bCs/>
                    </w:rPr>
                  </w:pPr>
                </w:p>
              </w:tc>
              <w:tc>
                <w:tcPr>
                  <w:tcW w:w="4633" w:type="dxa"/>
                </w:tcPr>
                <w:p w14:paraId="471E48AD" w14:textId="397E95F9" w:rsidR="008A227E" w:rsidRPr="009246FF" w:rsidRDefault="008A227E" w:rsidP="005355F5">
                  <w:pPr>
                    <w:pStyle w:val="NoSpacing"/>
                    <w:jc w:val="both"/>
                    <w:rPr>
                      <w:rFonts w:ascii="Arial" w:hAnsi="Arial" w:cs="Arial"/>
                      <w:b/>
                    </w:rPr>
                  </w:pPr>
                  <w:r w:rsidRPr="009246FF">
                    <w:rPr>
                      <w:rFonts w:ascii="Arial" w:hAnsi="Arial" w:cs="Arial"/>
                    </w:rPr>
                    <w:t xml:space="preserve">Light-bellied Brent Goose </w:t>
                  </w:r>
                  <w:r w:rsidRPr="009246FF">
                    <w:rPr>
                      <w:rFonts w:ascii="Arial" w:hAnsi="Arial" w:cs="Arial"/>
                      <w:i/>
                      <w:iCs/>
                    </w:rPr>
                    <w:t xml:space="preserve">Branta </w:t>
                  </w:r>
                  <w:proofErr w:type="spellStart"/>
                  <w:r w:rsidRPr="009246FF">
                    <w:rPr>
                      <w:rFonts w:ascii="Arial" w:hAnsi="Arial" w:cs="Arial"/>
                      <w:i/>
                      <w:iCs/>
                    </w:rPr>
                    <w:t>bernicla</w:t>
                  </w:r>
                  <w:proofErr w:type="spellEnd"/>
                  <w:r w:rsidRPr="009246FF">
                    <w:rPr>
                      <w:rFonts w:ascii="Arial" w:hAnsi="Arial" w:cs="Arial"/>
                      <w:i/>
                      <w:iCs/>
                    </w:rPr>
                    <w:t xml:space="preserve"> </w:t>
                  </w:r>
                  <w:proofErr w:type="spellStart"/>
                  <w:r w:rsidRPr="009246FF">
                    <w:rPr>
                      <w:rFonts w:ascii="Arial" w:hAnsi="Arial" w:cs="Arial"/>
                      <w:i/>
                      <w:iCs/>
                    </w:rPr>
                    <w:t>hrota</w:t>
                  </w:r>
                  <w:proofErr w:type="spellEnd"/>
                  <w:r w:rsidRPr="009246FF">
                    <w:rPr>
                      <w:rFonts w:ascii="Arial" w:hAnsi="Arial" w:cs="Arial"/>
                    </w:rPr>
                    <w:t xml:space="preserve"> (A046) </w:t>
                  </w:r>
                  <w:r w:rsidRPr="009246FF">
                    <w:rPr>
                      <w:rFonts w:ascii="Arial" w:hAnsi="Arial" w:cs="Arial"/>
                      <w:b/>
                    </w:rPr>
                    <w:t>M</w:t>
                  </w:r>
                </w:p>
              </w:tc>
              <w:tc>
                <w:tcPr>
                  <w:tcW w:w="1086" w:type="dxa"/>
                </w:tcPr>
                <w:p w14:paraId="6FD6E132" w14:textId="714314B8" w:rsidR="008A227E" w:rsidRPr="009246FF" w:rsidRDefault="008A227E" w:rsidP="008A227E">
                  <w:pPr>
                    <w:jc w:val="both"/>
                    <w:rPr>
                      <w:rFonts w:ascii="Arial" w:hAnsi="Arial" w:cs="Arial"/>
                      <w:lang w:val="en-US"/>
                    </w:rPr>
                  </w:pPr>
                  <w:r w:rsidRPr="009246FF">
                    <w:rPr>
                      <w:rFonts w:ascii="Arial" w:hAnsi="Arial" w:cs="Arial"/>
                      <w:lang w:val="en-US"/>
                    </w:rPr>
                    <w:t>Y</w:t>
                  </w:r>
                </w:p>
              </w:tc>
              <w:tc>
                <w:tcPr>
                  <w:tcW w:w="919" w:type="dxa"/>
                </w:tcPr>
                <w:p w14:paraId="3916F1AA" w14:textId="21B0EC94" w:rsidR="008A227E" w:rsidRPr="009246FF" w:rsidRDefault="008A227E" w:rsidP="008A227E">
                  <w:pPr>
                    <w:jc w:val="both"/>
                    <w:rPr>
                      <w:rFonts w:ascii="Arial" w:hAnsi="Arial" w:cs="Arial"/>
                      <w:lang w:val="en-US"/>
                    </w:rPr>
                  </w:pPr>
                  <w:r w:rsidRPr="009246FF">
                    <w:rPr>
                      <w:rFonts w:ascii="Arial" w:hAnsi="Arial" w:cs="Arial"/>
                      <w:lang w:val="en-US"/>
                    </w:rPr>
                    <w:t>N</w:t>
                  </w:r>
                </w:p>
                <w:p w14:paraId="218A3EE4" w14:textId="081F0090" w:rsidR="008A227E" w:rsidRPr="009246FF" w:rsidRDefault="008A227E" w:rsidP="008A227E">
                  <w:pPr>
                    <w:jc w:val="both"/>
                    <w:rPr>
                      <w:rFonts w:ascii="Arial" w:hAnsi="Arial" w:cs="Arial"/>
                      <w:lang w:val="en-US"/>
                    </w:rPr>
                  </w:pPr>
                </w:p>
              </w:tc>
              <w:tc>
                <w:tcPr>
                  <w:tcW w:w="996" w:type="dxa"/>
                </w:tcPr>
                <w:p w14:paraId="4F9B70E4" w14:textId="4C18BC80" w:rsidR="008A227E" w:rsidRPr="009246FF" w:rsidRDefault="008A227E" w:rsidP="008A227E">
                  <w:pPr>
                    <w:jc w:val="both"/>
                    <w:rPr>
                      <w:rFonts w:ascii="Arial" w:hAnsi="Arial" w:cs="Arial"/>
                      <w:lang w:val="en-US"/>
                    </w:rPr>
                  </w:pPr>
                  <w:r w:rsidRPr="009246FF">
                    <w:rPr>
                      <w:rFonts w:ascii="Arial" w:hAnsi="Arial" w:cs="Arial"/>
                      <w:lang w:val="en-US"/>
                    </w:rPr>
                    <w:t>N</w:t>
                  </w:r>
                </w:p>
              </w:tc>
            </w:tr>
            <w:tr w:rsidR="008A227E" w:rsidRPr="009246FF" w14:paraId="14E6D57A" w14:textId="77777777" w:rsidTr="00B41D78">
              <w:trPr>
                <w:trHeight w:val="255"/>
              </w:trPr>
              <w:tc>
                <w:tcPr>
                  <w:tcW w:w="1207" w:type="dxa"/>
                  <w:vMerge/>
                </w:tcPr>
                <w:p w14:paraId="06916780" w14:textId="77777777" w:rsidR="008A227E" w:rsidRPr="009246FF" w:rsidRDefault="008A227E" w:rsidP="00833D72">
                  <w:pPr>
                    <w:pStyle w:val="NoSpacing"/>
                    <w:rPr>
                      <w:rFonts w:ascii="Arial" w:hAnsi="Arial" w:cs="Arial"/>
                      <w:b/>
                      <w:bCs/>
                    </w:rPr>
                  </w:pPr>
                </w:p>
              </w:tc>
              <w:tc>
                <w:tcPr>
                  <w:tcW w:w="4633" w:type="dxa"/>
                </w:tcPr>
                <w:p w14:paraId="133C5299" w14:textId="34C078EB" w:rsidR="008A227E" w:rsidRPr="009246FF" w:rsidRDefault="008A227E" w:rsidP="005355F5">
                  <w:pPr>
                    <w:pStyle w:val="NoSpacing"/>
                    <w:jc w:val="both"/>
                    <w:rPr>
                      <w:rFonts w:ascii="Arial" w:hAnsi="Arial" w:cs="Arial"/>
                    </w:rPr>
                  </w:pPr>
                  <w:r w:rsidRPr="009246FF">
                    <w:rPr>
                      <w:rFonts w:ascii="Arial" w:hAnsi="Arial" w:cs="Arial"/>
                    </w:rPr>
                    <w:t xml:space="preserve">Shelduck </w:t>
                  </w:r>
                  <w:r w:rsidRPr="009246FF">
                    <w:rPr>
                      <w:rFonts w:ascii="Arial" w:hAnsi="Arial" w:cs="Arial"/>
                      <w:i/>
                      <w:iCs/>
                    </w:rPr>
                    <w:t xml:space="preserve">Tadorna </w:t>
                  </w:r>
                  <w:proofErr w:type="spellStart"/>
                  <w:r w:rsidRPr="009246FF">
                    <w:rPr>
                      <w:rFonts w:ascii="Arial" w:hAnsi="Arial" w:cs="Arial"/>
                      <w:i/>
                      <w:iCs/>
                    </w:rPr>
                    <w:t>Tadorna</w:t>
                  </w:r>
                  <w:proofErr w:type="spellEnd"/>
                  <w:r w:rsidRPr="009246FF">
                    <w:rPr>
                      <w:rFonts w:ascii="Arial" w:hAnsi="Arial" w:cs="Arial"/>
                      <w:i/>
                      <w:iCs/>
                    </w:rPr>
                    <w:t xml:space="preserve"> </w:t>
                  </w:r>
                  <w:r w:rsidRPr="009246FF">
                    <w:rPr>
                      <w:rFonts w:ascii="Arial" w:hAnsi="Arial" w:cs="Arial"/>
                    </w:rPr>
                    <w:t xml:space="preserve">(A048) </w:t>
                  </w:r>
                  <w:r w:rsidRPr="009246FF">
                    <w:rPr>
                      <w:rFonts w:ascii="Arial" w:hAnsi="Arial" w:cs="Arial"/>
                      <w:b/>
                    </w:rPr>
                    <w:t>M</w:t>
                  </w:r>
                  <w:r w:rsidRPr="009246FF">
                    <w:rPr>
                      <w:rFonts w:ascii="Arial" w:hAnsi="Arial" w:cs="Arial"/>
                    </w:rPr>
                    <w:t xml:space="preserve"> </w:t>
                  </w:r>
                </w:p>
              </w:tc>
              <w:tc>
                <w:tcPr>
                  <w:tcW w:w="1086" w:type="dxa"/>
                </w:tcPr>
                <w:p w14:paraId="0C397ACC" w14:textId="2556F608" w:rsidR="008A227E" w:rsidRPr="009246FF" w:rsidRDefault="008A227E" w:rsidP="008A227E">
                  <w:pPr>
                    <w:jc w:val="both"/>
                    <w:rPr>
                      <w:rFonts w:ascii="Arial" w:hAnsi="Arial" w:cs="Arial"/>
                      <w:lang w:val="en-US"/>
                    </w:rPr>
                  </w:pPr>
                  <w:r w:rsidRPr="009246FF">
                    <w:rPr>
                      <w:rFonts w:ascii="Arial" w:hAnsi="Arial" w:cs="Arial"/>
                      <w:lang w:val="en-US"/>
                    </w:rPr>
                    <w:t>Y</w:t>
                  </w:r>
                </w:p>
              </w:tc>
              <w:tc>
                <w:tcPr>
                  <w:tcW w:w="919" w:type="dxa"/>
                </w:tcPr>
                <w:p w14:paraId="142894F7" w14:textId="26E9D2F8" w:rsidR="008A227E" w:rsidRPr="009246FF" w:rsidRDefault="008A227E" w:rsidP="008A227E">
                  <w:pPr>
                    <w:jc w:val="both"/>
                    <w:rPr>
                      <w:rFonts w:ascii="Arial" w:hAnsi="Arial" w:cs="Arial"/>
                      <w:lang w:val="en-US"/>
                    </w:rPr>
                  </w:pPr>
                  <w:r w:rsidRPr="009246FF">
                    <w:rPr>
                      <w:rFonts w:ascii="Arial" w:hAnsi="Arial" w:cs="Arial"/>
                      <w:lang w:val="en-US"/>
                    </w:rPr>
                    <w:t>N</w:t>
                  </w:r>
                </w:p>
              </w:tc>
              <w:tc>
                <w:tcPr>
                  <w:tcW w:w="996" w:type="dxa"/>
                </w:tcPr>
                <w:p w14:paraId="73E78BB0" w14:textId="707299D8" w:rsidR="008A227E" w:rsidRPr="009246FF" w:rsidRDefault="008A227E" w:rsidP="008A227E">
                  <w:pPr>
                    <w:jc w:val="both"/>
                    <w:rPr>
                      <w:rFonts w:ascii="Arial" w:hAnsi="Arial" w:cs="Arial"/>
                      <w:lang w:val="en-US"/>
                    </w:rPr>
                  </w:pPr>
                  <w:r w:rsidRPr="009246FF">
                    <w:rPr>
                      <w:rFonts w:ascii="Arial" w:hAnsi="Arial" w:cs="Arial"/>
                      <w:lang w:val="en-US"/>
                    </w:rPr>
                    <w:t>N</w:t>
                  </w:r>
                </w:p>
              </w:tc>
            </w:tr>
            <w:tr w:rsidR="008A227E" w:rsidRPr="009246FF" w14:paraId="7AB84388" w14:textId="77777777" w:rsidTr="00B41D78">
              <w:trPr>
                <w:trHeight w:val="272"/>
              </w:trPr>
              <w:tc>
                <w:tcPr>
                  <w:tcW w:w="1207" w:type="dxa"/>
                  <w:vMerge/>
                </w:tcPr>
                <w:p w14:paraId="33C6B93A" w14:textId="77777777" w:rsidR="008A227E" w:rsidRPr="009246FF" w:rsidRDefault="008A227E" w:rsidP="00833D72">
                  <w:pPr>
                    <w:pStyle w:val="NoSpacing"/>
                    <w:rPr>
                      <w:rFonts w:ascii="Arial" w:hAnsi="Arial" w:cs="Arial"/>
                      <w:b/>
                      <w:bCs/>
                    </w:rPr>
                  </w:pPr>
                </w:p>
              </w:tc>
              <w:tc>
                <w:tcPr>
                  <w:tcW w:w="4633" w:type="dxa"/>
                </w:tcPr>
                <w:p w14:paraId="69BCA263" w14:textId="3B2FB423" w:rsidR="008A227E" w:rsidRPr="009246FF" w:rsidRDefault="008A227E" w:rsidP="005355F5">
                  <w:pPr>
                    <w:pStyle w:val="NoSpacing"/>
                    <w:jc w:val="both"/>
                    <w:rPr>
                      <w:rFonts w:ascii="Arial" w:hAnsi="Arial" w:cs="Arial"/>
                    </w:rPr>
                  </w:pPr>
                  <w:r w:rsidRPr="009246FF">
                    <w:rPr>
                      <w:rFonts w:ascii="Arial" w:hAnsi="Arial" w:cs="Arial"/>
                    </w:rPr>
                    <w:t xml:space="preserve">Wigeon </w:t>
                  </w:r>
                  <w:r w:rsidRPr="009246FF">
                    <w:rPr>
                      <w:rFonts w:ascii="Arial" w:hAnsi="Arial" w:cs="Arial"/>
                      <w:i/>
                      <w:iCs/>
                    </w:rPr>
                    <w:t xml:space="preserve">Anas Penelope </w:t>
                  </w:r>
                  <w:r w:rsidRPr="009246FF">
                    <w:rPr>
                      <w:rFonts w:ascii="Arial" w:hAnsi="Arial" w:cs="Arial"/>
                    </w:rPr>
                    <w:t xml:space="preserve">(A050) </w:t>
                  </w:r>
                  <w:r w:rsidRPr="009246FF">
                    <w:rPr>
                      <w:rFonts w:ascii="Arial" w:hAnsi="Arial" w:cs="Arial"/>
                      <w:b/>
                    </w:rPr>
                    <w:t>M</w:t>
                  </w:r>
                  <w:r w:rsidRPr="009246FF">
                    <w:rPr>
                      <w:rFonts w:ascii="Arial" w:hAnsi="Arial" w:cs="Arial"/>
                    </w:rPr>
                    <w:t xml:space="preserve"> </w:t>
                  </w:r>
                </w:p>
              </w:tc>
              <w:tc>
                <w:tcPr>
                  <w:tcW w:w="1086" w:type="dxa"/>
                </w:tcPr>
                <w:p w14:paraId="04AE9246" w14:textId="393B7F91" w:rsidR="008A227E" w:rsidRPr="009246FF" w:rsidRDefault="008A227E" w:rsidP="008A227E">
                  <w:pPr>
                    <w:jc w:val="both"/>
                    <w:rPr>
                      <w:rFonts w:ascii="Arial" w:hAnsi="Arial" w:cs="Arial"/>
                      <w:lang w:val="en-US"/>
                    </w:rPr>
                  </w:pPr>
                  <w:r w:rsidRPr="009246FF">
                    <w:rPr>
                      <w:rFonts w:ascii="Arial" w:hAnsi="Arial" w:cs="Arial"/>
                      <w:lang w:val="en-US"/>
                    </w:rPr>
                    <w:t>Y</w:t>
                  </w:r>
                </w:p>
              </w:tc>
              <w:tc>
                <w:tcPr>
                  <w:tcW w:w="919" w:type="dxa"/>
                </w:tcPr>
                <w:p w14:paraId="382E46E5" w14:textId="3A829A72" w:rsidR="008A227E" w:rsidRPr="009246FF" w:rsidRDefault="008A227E" w:rsidP="008A227E">
                  <w:pPr>
                    <w:jc w:val="both"/>
                    <w:rPr>
                      <w:rFonts w:ascii="Arial" w:hAnsi="Arial" w:cs="Arial"/>
                      <w:lang w:val="en-US"/>
                    </w:rPr>
                  </w:pPr>
                  <w:r w:rsidRPr="009246FF">
                    <w:rPr>
                      <w:rFonts w:ascii="Arial" w:hAnsi="Arial" w:cs="Arial"/>
                      <w:lang w:val="en-US"/>
                    </w:rPr>
                    <w:t>N</w:t>
                  </w:r>
                </w:p>
              </w:tc>
              <w:tc>
                <w:tcPr>
                  <w:tcW w:w="996" w:type="dxa"/>
                </w:tcPr>
                <w:p w14:paraId="62629342" w14:textId="5701419D" w:rsidR="008A227E" w:rsidRPr="009246FF" w:rsidRDefault="008A227E" w:rsidP="008A227E">
                  <w:pPr>
                    <w:jc w:val="both"/>
                    <w:rPr>
                      <w:rFonts w:ascii="Arial" w:hAnsi="Arial" w:cs="Arial"/>
                      <w:lang w:val="en-US"/>
                    </w:rPr>
                  </w:pPr>
                  <w:r w:rsidRPr="009246FF">
                    <w:rPr>
                      <w:rFonts w:ascii="Arial" w:hAnsi="Arial" w:cs="Arial"/>
                      <w:lang w:val="en-US"/>
                    </w:rPr>
                    <w:t>N</w:t>
                  </w:r>
                </w:p>
              </w:tc>
            </w:tr>
            <w:tr w:rsidR="008A227E" w:rsidRPr="009246FF" w14:paraId="57F2C72C" w14:textId="77777777" w:rsidTr="00B41D78">
              <w:trPr>
                <w:trHeight w:val="277"/>
              </w:trPr>
              <w:tc>
                <w:tcPr>
                  <w:tcW w:w="1207" w:type="dxa"/>
                  <w:vMerge/>
                </w:tcPr>
                <w:p w14:paraId="3436FF6E" w14:textId="77777777" w:rsidR="008A227E" w:rsidRPr="009246FF" w:rsidRDefault="008A227E" w:rsidP="00833D72">
                  <w:pPr>
                    <w:pStyle w:val="NoSpacing"/>
                    <w:rPr>
                      <w:rFonts w:ascii="Arial" w:hAnsi="Arial" w:cs="Arial"/>
                      <w:b/>
                      <w:bCs/>
                    </w:rPr>
                  </w:pPr>
                </w:p>
              </w:tc>
              <w:tc>
                <w:tcPr>
                  <w:tcW w:w="4633" w:type="dxa"/>
                </w:tcPr>
                <w:p w14:paraId="3CF1DE6D" w14:textId="0377F7FC" w:rsidR="008A227E" w:rsidRPr="00A34008" w:rsidRDefault="008A227E" w:rsidP="005355F5">
                  <w:pPr>
                    <w:pStyle w:val="NoSpacing"/>
                    <w:jc w:val="both"/>
                    <w:rPr>
                      <w:rFonts w:ascii="Arial" w:hAnsi="Arial" w:cs="Arial"/>
                      <w:lang w:val="it-IT"/>
                    </w:rPr>
                  </w:pPr>
                  <w:r w:rsidRPr="00A34008">
                    <w:rPr>
                      <w:rFonts w:ascii="Arial" w:hAnsi="Arial" w:cs="Arial"/>
                      <w:lang w:val="it-IT"/>
                    </w:rPr>
                    <w:t xml:space="preserve">Teal </w:t>
                  </w:r>
                  <w:r w:rsidRPr="00A34008">
                    <w:rPr>
                      <w:rFonts w:ascii="Arial" w:hAnsi="Arial" w:cs="Arial"/>
                      <w:i/>
                      <w:iCs/>
                      <w:lang w:val="it-IT"/>
                    </w:rPr>
                    <w:t xml:space="preserve">Anas crecca </w:t>
                  </w:r>
                  <w:r w:rsidRPr="00A34008">
                    <w:rPr>
                      <w:rFonts w:ascii="Arial" w:hAnsi="Arial" w:cs="Arial"/>
                      <w:lang w:val="it-IT"/>
                    </w:rPr>
                    <w:t xml:space="preserve">(A052) </w:t>
                  </w:r>
                  <w:r w:rsidRPr="00A34008">
                    <w:rPr>
                      <w:rFonts w:ascii="Arial" w:hAnsi="Arial" w:cs="Arial"/>
                      <w:b/>
                      <w:lang w:val="it-IT"/>
                    </w:rPr>
                    <w:t>M</w:t>
                  </w:r>
                  <w:r w:rsidRPr="00A34008">
                    <w:rPr>
                      <w:rFonts w:ascii="Arial" w:hAnsi="Arial" w:cs="Arial"/>
                      <w:lang w:val="it-IT"/>
                    </w:rPr>
                    <w:t xml:space="preserve"> </w:t>
                  </w:r>
                </w:p>
              </w:tc>
              <w:tc>
                <w:tcPr>
                  <w:tcW w:w="1086" w:type="dxa"/>
                </w:tcPr>
                <w:p w14:paraId="25EECFAB" w14:textId="2C9B1F33" w:rsidR="008A227E" w:rsidRPr="009246FF" w:rsidRDefault="008A227E" w:rsidP="008A227E">
                  <w:pPr>
                    <w:jc w:val="both"/>
                    <w:rPr>
                      <w:rFonts w:ascii="Arial" w:hAnsi="Arial" w:cs="Arial"/>
                      <w:lang w:val="en-US"/>
                    </w:rPr>
                  </w:pPr>
                  <w:r w:rsidRPr="009246FF">
                    <w:rPr>
                      <w:rFonts w:ascii="Arial" w:hAnsi="Arial" w:cs="Arial"/>
                      <w:lang w:val="en-US"/>
                    </w:rPr>
                    <w:t>Y</w:t>
                  </w:r>
                </w:p>
              </w:tc>
              <w:tc>
                <w:tcPr>
                  <w:tcW w:w="919" w:type="dxa"/>
                </w:tcPr>
                <w:p w14:paraId="55A1A551" w14:textId="4D8094F4" w:rsidR="008A227E" w:rsidRPr="009246FF" w:rsidRDefault="008A227E" w:rsidP="008A227E">
                  <w:pPr>
                    <w:jc w:val="both"/>
                    <w:rPr>
                      <w:rFonts w:ascii="Arial" w:hAnsi="Arial" w:cs="Arial"/>
                      <w:lang w:val="en-US"/>
                    </w:rPr>
                  </w:pPr>
                  <w:r w:rsidRPr="009246FF">
                    <w:rPr>
                      <w:rFonts w:ascii="Arial" w:hAnsi="Arial" w:cs="Arial"/>
                      <w:lang w:val="en-US"/>
                    </w:rPr>
                    <w:t>N</w:t>
                  </w:r>
                </w:p>
              </w:tc>
              <w:tc>
                <w:tcPr>
                  <w:tcW w:w="996" w:type="dxa"/>
                </w:tcPr>
                <w:p w14:paraId="354FF83B" w14:textId="6342F385" w:rsidR="008A227E" w:rsidRPr="009246FF" w:rsidRDefault="008A227E" w:rsidP="008A227E">
                  <w:pPr>
                    <w:jc w:val="both"/>
                    <w:rPr>
                      <w:rFonts w:ascii="Arial" w:hAnsi="Arial" w:cs="Arial"/>
                      <w:lang w:val="en-US"/>
                    </w:rPr>
                  </w:pPr>
                  <w:r w:rsidRPr="009246FF">
                    <w:rPr>
                      <w:rFonts w:ascii="Arial" w:hAnsi="Arial" w:cs="Arial"/>
                      <w:lang w:val="en-US"/>
                    </w:rPr>
                    <w:t>N</w:t>
                  </w:r>
                </w:p>
              </w:tc>
            </w:tr>
            <w:tr w:rsidR="008A227E" w:rsidRPr="009246FF" w14:paraId="13274E58" w14:textId="77777777" w:rsidTr="00B41D78">
              <w:trPr>
                <w:trHeight w:val="301"/>
              </w:trPr>
              <w:tc>
                <w:tcPr>
                  <w:tcW w:w="1207" w:type="dxa"/>
                  <w:vMerge/>
                </w:tcPr>
                <w:p w14:paraId="618D006F" w14:textId="77777777" w:rsidR="008A227E" w:rsidRPr="009246FF" w:rsidRDefault="008A227E" w:rsidP="00833D72">
                  <w:pPr>
                    <w:pStyle w:val="NoSpacing"/>
                    <w:rPr>
                      <w:rFonts w:ascii="Arial" w:hAnsi="Arial" w:cs="Arial"/>
                      <w:b/>
                      <w:bCs/>
                    </w:rPr>
                  </w:pPr>
                </w:p>
              </w:tc>
              <w:tc>
                <w:tcPr>
                  <w:tcW w:w="4633" w:type="dxa"/>
                </w:tcPr>
                <w:p w14:paraId="79567B43" w14:textId="79437598" w:rsidR="008A227E" w:rsidRPr="009246FF" w:rsidRDefault="008A227E" w:rsidP="008A227E">
                  <w:pPr>
                    <w:pStyle w:val="NoSpacing"/>
                    <w:jc w:val="both"/>
                    <w:rPr>
                      <w:rFonts w:ascii="Arial" w:hAnsi="Arial" w:cs="Arial"/>
                      <w:b/>
                    </w:rPr>
                  </w:pPr>
                  <w:r w:rsidRPr="009246FF">
                    <w:rPr>
                      <w:rFonts w:ascii="Arial" w:hAnsi="Arial" w:cs="Arial"/>
                    </w:rPr>
                    <w:t xml:space="preserve">Pintail </w:t>
                  </w:r>
                  <w:r w:rsidRPr="009246FF">
                    <w:rPr>
                      <w:rFonts w:ascii="Arial" w:hAnsi="Arial" w:cs="Arial"/>
                      <w:i/>
                      <w:iCs/>
                    </w:rPr>
                    <w:t xml:space="preserve">Anas acuta </w:t>
                  </w:r>
                  <w:r w:rsidRPr="009246FF">
                    <w:rPr>
                      <w:rFonts w:ascii="Arial" w:hAnsi="Arial" w:cs="Arial"/>
                    </w:rPr>
                    <w:t xml:space="preserve">(A054) </w:t>
                  </w:r>
                  <w:r w:rsidRPr="009246FF">
                    <w:rPr>
                      <w:rFonts w:ascii="Arial" w:hAnsi="Arial" w:cs="Arial"/>
                      <w:b/>
                    </w:rPr>
                    <w:t>M</w:t>
                  </w:r>
                </w:p>
              </w:tc>
              <w:tc>
                <w:tcPr>
                  <w:tcW w:w="1086" w:type="dxa"/>
                </w:tcPr>
                <w:p w14:paraId="05C3AA7C" w14:textId="76F92817" w:rsidR="008A227E" w:rsidRPr="009246FF" w:rsidRDefault="008A227E" w:rsidP="008A227E">
                  <w:pPr>
                    <w:jc w:val="both"/>
                    <w:rPr>
                      <w:rFonts w:ascii="Arial" w:hAnsi="Arial" w:cs="Arial"/>
                      <w:lang w:val="en-US"/>
                    </w:rPr>
                  </w:pPr>
                  <w:r w:rsidRPr="009246FF">
                    <w:rPr>
                      <w:rFonts w:ascii="Arial" w:hAnsi="Arial" w:cs="Arial"/>
                      <w:lang w:val="en-US"/>
                    </w:rPr>
                    <w:t>Y</w:t>
                  </w:r>
                </w:p>
              </w:tc>
              <w:tc>
                <w:tcPr>
                  <w:tcW w:w="919" w:type="dxa"/>
                </w:tcPr>
                <w:p w14:paraId="3E701550" w14:textId="20458ED1" w:rsidR="008A227E" w:rsidRPr="009246FF" w:rsidRDefault="008A227E" w:rsidP="008A227E">
                  <w:pPr>
                    <w:jc w:val="both"/>
                    <w:rPr>
                      <w:rFonts w:ascii="Arial" w:hAnsi="Arial" w:cs="Arial"/>
                      <w:lang w:val="en-US"/>
                    </w:rPr>
                  </w:pPr>
                  <w:r w:rsidRPr="009246FF">
                    <w:rPr>
                      <w:rFonts w:ascii="Arial" w:hAnsi="Arial" w:cs="Arial"/>
                      <w:lang w:val="en-US"/>
                    </w:rPr>
                    <w:t>N</w:t>
                  </w:r>
                </w:p>
              </w:tc>
              <w:tc>
                <w:tcPr>
                  <w:tcW w:w="996" w:type="dxa"/>
                </w:tcPr>
                <w:p w14:paraId="6CEE75BA" w14:textId="773C371E" w:rsidR="008A227E" w:rsidRPr="009246FF" w:rsidRDefault="008A227E" w:rsidP="008A227E">
                  <w:pPr>
                    <w:jc w:val="both"/>
                    <w:rPr>
                      <w:rFonts w:ascii="Arial" w:hAnsi="Arial" w:cs="Arial"/>
                      <w:lang w:val="en-US"/>
                    </w:rPr>
                  </w:pPr>
                  <w:r w:rsidRPr="009246FF">
                    <w:rPr>
                      <w:rFonts w:ascii="Arial" w:hAnsi="Arial" w:cs="Arial"/>
                      <w:lang w:val="en-US"/>
                    </w:rPr>
                    <w:t>N</w:t>
                  </w:r>
                </w:p>
              </w:tc>
            </w:tr>
            <w:tr w:rsidR="008A227E" w:rsidRPr="009246FF" w14:paraId="73C85081" w14:textId="77777777" w:rsidTr="00AB462E">
              <w:trPr>
                <w:trHeight w:val="213"/>
              </w:trPr>
              <w:tc>
                <w:tcPr>
                  <w:tcW w:w="1207" w:type="dxa"/>
                  <w:vMerge/>
                </w:tcPr>
                <w:p w14:paraId="625ED752" w14:textId="77777777" w:rsidR="008A227E" w:rsidRPr="009246FF" w:rsidRDefault="008A227E" w:rsidP="00833D72">
                  <w:pPr>
                    <w:pStyle w:val="NoSpacing"/>
                    <w:rPr>
                      <w:rFonts w:ascii="Arial" w:hAnsi="Arial" w:cs="Arial"/>
                      <w:b/>
                      <w:bCs/>
                    </w:rPr>
                  </w:pPr>
                </w:p>
              </w:tc>
              <w:tc>
                <w:tcPr>
                  <w:tcW w:w="4633" w:type="dxa"/>
                </w:tcPr>
                <w:p w14:paraId="6B774CF0" w14:textId="55E204F8" w:rsidR="008A227E" w:rsidRPr="009246FF" w:rsidRDefault="008A227E" w:rsidP="005355F5">
                  <w:pPr>
                    <w:pStyle w:val="NoSpacing"/>
                    <w:jc w:val="both"/>
                    <w:rPr>
                      <w:rFonts w:ascii="Arial" w:hAnsi="Arial" w:cs="Arial"/>
                    </w:rPr>
                  </w:pPr>
                  <w:r w:rsidRPr="009246FF">
                    <w:rPr>
                      <w:rFonts w:ascii="Arial" w:hAnsi="Arial" w:cs="Arial"/>
                    </w:rPr>
                    <w:t xml:space="preserve">Shoveler </w:t>
                  </w:r>
                  <w:r w:rsidRPr="009246FF">
                    <w:rPr>
                      <w:rFonts w:ascii="Arial" w:hAnsi="Arial" w:cs="Arial"/>
                      <w:i/>
                      <w:iCs/>
                    </w:rPr>
                    <w:t xml:space="preserve">Anas </w:t>
                  </w:r>
                  <w:proofErr w:type="spellStart"/>
                  <w:r w:rsidRPr="009246FF">
                    <w:rPr>
                      <w:rFonts w:ascii="Arial" w:hAnsi="Arial" w:cs="Arial"/>
                      <w:i/>
                      <w:iCs/>
                    </w:rPr>
                    <w:t>clypeata</w:t>
                  </w:r>
                  <w:proofErr w:type="spellEnd"/>
                  <w:r w:rsidRPr="009246FF">
                    <w:rPr>
                      <w:rFonts w:ascii="Arial" w:hAnsi="Arial" w:cs="Arial"/>
                    </w:rPr>
                    <w:t xml:space="preserve"> (A056) </w:t>
                  </w:r>
                  <w:r w:rsidRPr="009246FF">
                    <w:rPr>
                      <w:rFonts w:ascii="Arial" w:hAnsi="Arial" w:cs="Arial"/>
                      <w:b/>
                    </w:rPr>
                    <w:t>M</w:t>
                  </w:r>
                  <w:r w:rsidRPr="009246FF">
                    <w:rPr>
                      <w:rFonts w:ascii="Arial" w:hAnsi="Arial" w:cs="Arial"/>
                    </w:rPr>
                    <w:t xml:space="preserve"> </w:t>
                  </w:r>
                </w:p>
              </w:tc>
              <w:tc>
                <w:tcPr>
                  <w:tcW w:w="1086" w:type="dxa"/>
                </w:tcPr>
                <w:p w14:paraId="5ACF7F75" w14:textId="0B0449D2" w:rsidR="008A227E" w:rsidRPr="009246FF" w:rsidRDefault="008A227E" w:rsidP="008A227E">
                  <w:pPr>
                    <w:jc w:val="both"/>
                    <w:rPr>
                      <w:rFonts w:ascii="Arial" w:hAnsi="Arial" w:cs="Arial"/>
                      <w:lang w:val="en-US"/>
                    </w:rPr>
                  </w:pPr>
                  <w:r w:rsidRPr="009246FF">
                    <w:rPr>
                      <w:rFonts w:ascii="Arial" w:hAnsi="Arial" w:cs="Arial"/>
                      <w:lang w:val="en-US"/>
                    </w:rPr>
                    <w:t>Y</w:t>
                  </w:r>
                </w:p>
              </w:tc>
              <w:tc>
                <w:tcPr>
                  <w:tcW w:w="919" w:type="dxa"/>
                </w:tcPr>
                <w:p w14:paraId="65599779" w14:textId="2BC4B208" w:rsidR="008A227E" w:rsidRPr="009246FF" w:rsidRDefault="008A227E" w:rsidP="008A227E">
                  <w:pPr>
                    <w:jc w:val="both"/>
                    <w:rPr>
                      <w:rFonts w:ascii="Arial" w:hAnsi="Arial" w:cs="Arial"/>
                      <w:lang w:val="en-US"/>
                    </w:rPr>
                  </w:pPr>
                  <w:r w:rsidRPr="009246FF">
                    <w:rPr>
                      <w:rFonts w:ascii="Arial" w:hAnsi="Arial" w:cs="Arial"/>
                      <w:lang w:val="en-US"/>
                    </w:rPr>
                    <w:t>N</w:t>
                  </w:r>
                </w:p>
              </w:tc>
              <w:tc>
                <w:tcPr>
                  <w:tcW w:w="996" w:type="dxa"/>
                </w:tcPr>
                <w:p w14:paraId="3914F358" w14:textId="3569946F" w:rsidR="008A227E" w:rsidRPr="009246FF" w:rsidRDefault="008A227E" w:rsidP="008A227E">
                  <w:pPr>
                    <w:jc w:val="both"/>
                    <w:rPr>
                      <w:rFonts w:ascii="Arial" w:hAnsi="Arial" w:cs="Arial"/>
                      <w:lang w:val="en-US"/>
                    </w:rPr>
                  </w:pPr>
                  <w:r w:rsidRPr="009246FF">
                    <w:rPr>
                      <w:rFonts w:ascii="Arial" w:hAnsi="Arial" w:cs="Arial"/>
                      <w:lang w:val="en-US"/>
                    </w:rPr>
                    <w:t>N</w:t>
                  </w:r>
                </w:p>
              </w:tc>
            </w:tr>
            <w:tr w:rsidR="008A227E" w:rsidRPr="009246FF" w14:paraId="62C2D370" w14:textId="77777777" w:rsidTr="00B41D78">
              <w:trPr>
                <w:trHeight w:val="289"/>
              </w:trPr>
              <w:tc>
                <w:tcPr>
                  <w:tcW w:w="1207" w:type="dxa"/>
                  <w:vMerge/>
                </w:tcPr>
                <w:p w14:paraId="1596F654" w14:textId="77777777" w:rsidR="008A227E" w:rsidRPr="009246FF" w:rsidRDefault="008A227E" w:rsidP="00833D72">
                  <w:pPr>
                    <w:pStyle w:val="NoSpacing"/>
                    <w:rPr>
                      <w:rFonts w:ascii="Arial" w:hAnsi="Arial" w:cs="Arial"/>
                      <w:b/>
                      <w:bCs/>
                    </w:rPr>
                  </w:pPr>
                </w:p>
              </w:tc>
              <w:tc>
                <w:tcPr>
                  <w:tcW w:w="4633" w:type="dxa"/>
                </w:tcPr>
                <w:p w14:paraId="5B74A1C5" w14:textId="6E030D7E" w:rsidR="008A227E" w:rsidRPr="00A34008" w:rsidRDefault="008A227E" w:rsidP="00CA24B3">
                  <w:pPr>
                    <w:pStyle w:val="NoSpacing"/>
                    <w:jc w:val="both"/>
                    <w:rPr>
                      <w:rFonts w:ascii="Arial" w:hAnsi="Arial" w:cs="Arial"/>
                      <w:lang w:val="it-IT"/>
                    </w:rPr>
                  </w:pPr>
                  <w:r w:rsidRPr="00A34008">
                    <w:rPr>
                      <w:rFonts w:ascii="Arial" w:hAnsi="Arial" w:cs="Arial"/>
                      <w:lang w:val="it-IT"/>
                    </w:rPr>
                    <w:t xml:space="preserve">Scaup </w:t>
                  </w:r>
                  <w:r w:rsidRPr="00A34008">
                    <w:rPr>
                      <w:rFonts w:ascii="Arial" w:hAnsi="Arial" w:cs="Arial"/>
                      <w:i/>
                      <w:iCs/>
                      <w:lang w:val="it-IT"/>
                    </w:rPr>
                    <w:t>Aythya marila</w:t>
                  </w:r>
                  <w:r w:rsidRPr="00A34008">
                    <w:rPr>
                      <w:rFonts w:ascii="Arial" w:hAnsi="Arial" w:cs="Arial"/>
                      <w:lang w:val="it-IT"/>
                    </w:rPr>
                    <w:t xml:space="preserve"> (A062) </w:t>
                  </w:r>
                  <w:r w:rsidRPr="00A34008">
                    <w:rPr>
                      <w:rFonts w:ascii="Arial" w:hAnsi="Arial" w:cs="Arial"/>
                      <w:b/>
                      <w:lang w:val="it-IT"/>
                    </w:rPr>
                    <w:t>M</w:t>
                  </w:r>
                  <w:r w:rsidRPr="00A34008">
                    <w:rPr>
                      <w:rFonts w:ascii="Arial" w:hAnsi="Arial" w:cs="Arial"/>
                      <w:lang w:val="it-IT"/>
                    </w:rPr>
                    <w:t xml:space="preserve"> </w:t>
                  </w:r>
                </w:p>
              </w:tc>
              <w:tc>
                <w:tcPr>
                  <w:tcW w:w="1086" w:type="dxa"/>
                </w:tcPr>
                <w:p w14:paraId="246EF7AE" w14:textId="393ED248" w:rsidR="008A227E" w:rsidRPr="009246FF" w:rsidRDefault="008A227E" w:rsidP="008A227E">
                  <w:pPr>
                    <w:jc w:val="both"/>
                    <w:rPr>
                      <w:rFonts w:ascii="Arial" w:hAnsi="Arial" w:cs="Arial"/>
                      <w:lang w:val="en-US"/>
                    </w:rPr>
                  </w:pPr>
                  <w:r w:rsidRPr="009246FF">
                    <w:rPr>
                      <w:rFonts w:ascii="Arial" w:hAnsi="Arial" w:cs="Arial"/>
                      <w:lang w:val="en-US"/>
                    </w:rPr>
                    <w:t>Y</w:t>
                  </w:r>
                </w:p>
              </w:tc>
              <w:tc>
                <w:tcPr>
                  <w:tcW w:w="919" w:type="dxa"/>
                </w:tcPr>
                <w:p w14:paraId="5020A461" w14:textId="6310524F" w:rsidR="008A227E" w:rsidRPr="009246FF" w:rsidRDefault="008A227E" w:rsidP="008A227E">
                  <w:pPr>
                    <w:jc w:val="both"/>
                    <w:rPr>
                      <w:rFonts w:ascii="Arial" w:hAnsi="Arial" w:cs="Arial"/>
                      <w:lang w:val="en-US"/>
                    </w:rPr>
                  </w:pPr>
                  <w:r w:rsidRPr="009246FF">
                    <w:rPr>
                      <w:rFonts w:ascii="Arial" w:hAnsi="Arial" w:cs="Arial"/>
                      <w:lang w:val="en-US"/>
                    </w:rPr>
                    <w:t>N</w:t>
                  </w:r>
                </w:p>
              </w:tc>
              <w:tc>
                <w:tcPr>
                  <w:tcW w:w="996" w:type="dxa"/>
                </w:tcPr>
                <w:p w14:paraId="0F4EF2BC" w14:textId="37CD2C2B" w:rsidR="008A227E" w:rsidRPr="009246FF" w:rsidRDefault="008A227E" w:rsidP="008A227E">
                  <w:pPr>
                    <w:jc w:val="both"/>
                    <w:rPr>
                      <w:rFonts w:ascii="Arial" w:hAnsi="Arial" w:cs="Arial"/>
                      <w:lang w:val="en-US"/>
                    </w:rPr>
                  </w:pPr>
                  <w:r w:rsidRPr="009246FF">
                    <w:rPr>
                      <w:rFonts w:ascii="Arial" w:hAnsi="Arial" w:cs="Arial"/>
                      <w:lang w:val="en-US"/>
                    </w:rPr>
                    <w:t>N</w:t>
                  </w:r>
                </w:p>
              </w:tc>
            </w:tr>
            <w:tr w:rsidR="0030658E" w:rsidRPr="009246FF" w14:paraId="0BBC2D1D" w14:textId="77777777" w:rsidTr="00B41D78">
              <w:trPr>
                <w:trHeight w:val="321"/>
              </w:trPr>
              <w:tc>
                <w:tcPr>
                  <w:tcW w:w="1207" w:type="dxa"/>
                  <w:vMerge/>
                </w:tcPr>
                <w:p w14:paraId="14B0EBED" w14:textId="77777777" w:rsidR="0030658E" w:rsidRPr="009246FF" w:rsidRDefault="0030658E" w:rsidP="00833D72">
                  <w:pPr>
                    <w:pStyle w:val="NoSpacing"/>
                    <w:rPr>
                      <w:rFonts w:ascii="Arial" w:hAnsi="Arial" w:cs="Arial"/>
                      <w:b/>
                      <w:bCs/>
                    </w:rPr>
                  </w:pPr>
                </w:p>
              </w:tc>
              <w:tc>
                <w:tcPr>
                  <w:tcW w:w="4633" w:type="dxa"/>
                </w:tcPr>
                <w:p w14:paraId="62579AEB" w14:textId="0EA74452" w:rsidR="0030658E" w:rsidRPr="009246FF" w:rsidRDefault="0030658E" w:rsidP="00CA24B3">
                  <w:pPr>
                    <w:pStyle w:val="NoSpacing"/>
                    <w:jc w:val="both"/>
                    <w:rPr>
                      <w:rFonts w:ascii="Arial" w:hAnsi="Arial" w:cs="Arial"/>
                    </w:rPr>
                  </w:pPr>
                  <w:r w:rsidRPr="009246FF">
                    <w:rPr>
                      <w:rFonts w:ascii="Arial" w:hAnsi="Arial" w:cs="Arial"/>
                    </w:rPr>
                    <w:t xml:space="preserve">Ringed Plover </w:t>
                  </w:r>
                  <w:r w:rsidRPr="009246FF">
                    <w:rPr>
                      <w:rFonts w:ascii="Arial" w:hAnsi="Arial" w:cs="Arial"/>
                      <w:i/>
                      <w:iCs/>
                    </w:rPr>
                    <w:t xml:space="preserve">Charadrius </w:t>
                  </w:r>
                  <w:proofErr w:type="spellStart"/>
                  <w:r w:rsidRPr="009246FF">
                    <w:rPr>
                      <w:rFonts w:ascii="Arial" w:hAnsi="Arial" w:cs="Arial"/>
                      <w:i/>
                      <w:iCs/>
                    </w:rPr>
                    <w:t>hiaticula</w:t>
                  </w:r>
                  <w:proofErr w:type="spellEnd"/>
                  <w:r w:rsidRPr="009246FF">
                    <w:rPr>
                      <w:rFonts w:ascii="Arial" w:hAnsi="Arial" w:cs="Arial"/>
                    </w:rPr>
                    <w:t xml:space="preserve"> (A137) </w:t>
                  </w:r>
                  <w:r w:rsidRPr="009246FF">
                    <w:rPr>
                      <w:rFonts w:ascii="Arial" w:hAnsi="Arial" w:cs="Arial"/>
                      <w:b/>
                    </w:rPr>
                    <w:t>M</w:t>
                  </w:r>
                  <w:r w:rsidRPr="009246FF">
                    <w:rPr>
                      <w:rFonts w:ascii="Arial" w:hAnsi="Arial" w:cs="Arial"/>
                    </w:rPr>
                    <w:t xml:space="preserve"> </w:t>
                  </w:r>
                </w:p>
              </w:tc>
              <w:tc>
                <w:tcPr>
                  <w:tcW w:w="1086" w:type="dxa"/>
                </w:tcPr>
                <w:p w14:paraId="55DF0F93" w14:textId="71FBD32E" w:rsidR="0030658E" w:rsidRPr="009246FF" w:rsidRDefault="0030658E" w:rsidP="008A227E">
                  <w:pPr>
                    <w:jc w:val="both"/>
                    <w:rPr>
                      <w:rFonts w:ascii="Arial" w:hAnsi="Arial" w:cs="Arial"/>
                      <w:lang w:val="en-US"/>
                    </w:rPr>
                  </w:pPr>
                  <w:r w:rsidRPr="009246FF">
                    <w:rPr>
                      <w:rFonts w:ascii="Arial" w:hAnsi="Arial" w:cs="Arial"/>
                      <w:lang w:val="en-US"/>
                    </w:rPr>
                    <w:t>Y</w:t>
                  </w:r>
                </w:p>
              </w:tc>
              <w:tc>
                <w:tcPr>
                  <w:tcW w:w="919" w:type="dxa"/>
                </w:tcPr>
                <w:p w14:paraId="69654AF3" w14:textId="129CBA59" w:rsidR="0030658E" w:rsidRPr="009246FF" w:rsidRDefault="0030658E" w:rsidP="008A227E">
                  <w:pPr>
                    <w:jc w:val="both"/>
                    <w:rPr>
                      <w:rFonts w:ascii="Arial" w:hAnsi="Arial" w:cs="Arial"/>
                      <w:lang w:val="en-US"/>
                    </w:rPr>
                  </w:pPr>
                  <w:r w:rsidRPr="009246FF">
                    <w:rPr>
                      <w:rFonts w:ascii="Arial" w:hAnsi="Arial" w:cs="Arial"/>
                      <w:lang w:val="en-US"/>
                    </w:rPr>
                    <w:t>N</w:t>
                  </w:r>
                </w:p>
              </w:tc>
              <w:tc>
                <w:tcPr>
                  <w:tcW w:w="996" w:type="dxa"/>
                </w:tcPr>
                <w:p w14:paraId="6DF9303B" w14:textId="2B6514C2" w:rsidR="0030658E" w:rsidRPr="009246FF" w:rsidRDefault="0030658E" w:rsidP="008A227E">
                  <w:pPr>
                    <w:jc w:val="both"/>
                    <w:rPr>
                      <w:rFonts w:ascii="Arial" w:hAnsi="Arial" w:cs="Arial"/>
                      <w:lang w:val="en-US"/>
                    </w:rPr>
                  </w:pPr>
                  <w:r w:rsidRPr="009246FF">
                    <w:rPr>
                      <w:rFonts w:ascii="Arial" w:hAnsi="Arial" w:cs="Arial"/>
                      <w:lang w:val="en-US"/>
                    </w:rPr>
                    <w:t>N</w:t>
                  </w:r>
                </w:p>
              </w:tc>
            </w:tr>
            <w:tr w:rsidR="0030658E" w:rsidRPr="009246FF" w14:paraId="631F4A07" w14:textId="77777777" w:rsidTr="00B41D78">
              <w:trPr>
                <w:trHeight w:val="243"/>
              </w:trPr>
              <w:tc>
                <w:tcPr>
                  <w:tcW w:w="1207" w:type="dxa"/>
                  <w:vMerge/>
                </w:tcPr>
                <w:p w14:paraId="32B3EB8F" w14:textId="77777777" w:rsidR="0030658E" w:rsidRPr="009246FF" w:rsidRDefault="0030658E" w:rsidP="00833D72">
                  <w:pPr>
                    <w:pStyle w:val="NoSpacing"/>
                    <w:rPr>
                      <w:rFonts w:ascii="Arial" w:hAnsi="Arial" w:cs="Arial"/>
                      <w:b/>
                      <w:bCs/>
                    </w:rPr>
                  </w:pPr>
                </w:p>
              </w:tc>
              <w:tc>
                <w:tcPr>
                  <w:tcW w:w="4633" w:type="dxa"/>
                </w:tcPr>
                <w:p w14:paraId="3B60AA4F" w14:textId="3FB9A9B7" w:rsidR="0030658E" w:rsidRPr="009246FF" w:rsidRDefault="0030658E" w:rsidP="0030658E">
                  <w:pPr>
                    <w:pStyle w:val="NoSpacing"/>
                    <w:jc w:val="both"/>
                    <w:rPr>
                      <w:rFonts w:ascii="Arial" w:hAnsi="Arial" w:cs="Arial"/>
                    </w:rPr>
                  </w:pPr>
                  <w:r w:rsidRPr="009246FF">
                    <w:rPr>
                      <w:rFonts w:ascii="Arial" w:hAnsi="Arial" w:cs="Arial"/>
                    </w:rPr>
                    <w:t xml:space="preserve">Golden Plover </w:t>
                  </w:r>
                  <w:r w:rsidRPr="009246FF">
                    <w:rPr>
                      <w:rFonts w:ascii="Arial" w:hAnsi="Arial" w:cs="Arial"/>
                      <w:i/>
                      <w:iCs/>
                    </w:rPr>
                    <w:t xml:space="preserve">Pluvialis apricaria </w:t>
                  </w:r>
                  <w:r w:rsidRPr="009246FF">
                    <w:rPr>
                      <w:rFonts w:ascii="Arial" w:hAnsi="Arial" w:cs="Arial"/>
                    </w:rPr>
                    <w:t xml:space="preserve">(A140) </w:t>
                  </w:r>
                  <w:r w:rsidRPr="009246FF">
                    <w:rPr>
                      <w:rFonts w:ascii="Arial" w:hAnsi="Arial" w:cs="Arial"/>
                      <w:b/>
                    </w:rPr>
                    <w:t>M</w:t>
                  </w:r>
                  <w:r w:rsidRPr="009246FF">
                    <w:rPr>
                      <w:rFonts w:ascii="Arial" w:hAnsi="Arial" w:cs="Arial"/>
                    </w:rPr>
                    <w:t xml:space="preserve"> </w:t>
                  </w:r>
                </w:p>
              </w:tc>
              <w:tc>
                <w:tcPr>
                  <w:tcW w:w="1086" w:type="dxa"/>
                </w:tcPr>
                <w:p w14:paraId="06727EFB" w14:textId="0AD742F1" w:rsidR="0030658E" w:rsidRPr="009246FF" w:rsidRDefault="0030658E" w:rsidP="008A227E">
                  <w:pPr>
                    <w:jc w:val="both"/>
                    <w:rPr>
                      <w:rFonts w:ascii="Arial" w:hAnsi="Arial" w:cs="Arial"/>
                      <w:lang w:val="en-US"/>
                    </w:rPr>
                  </w:pPr>
                  <w:r w:rsidRPr="009246FF">
                    <w:rPr>
                      <w:rFonts w:ascii="Arial" w:hAnsi="Arial" w:cs="Arial"/>
                      <w:lang w:val="en-US"/>
                    </w:rPr>
                    <w:t>Y</w:t>
                  </w:r>
                </w:p>
              </w:tc>
              <w:tc>
                <w:tcPr>
                  <w:tcW w:w="919" w:type="dxa"/>
                </w:tcPr>
                <w:p w14:paraId="717E1455" w14:textId="385BBED3" w:rsidR="0030658E" w:rsidRPr="009246FF" w:rsidRDefault="0030658E" w:rsidP="008A227E">
                  <w:pPr>
                    <w:jc w:val="both"/>
                    <w:rPr>
                      <w:rFonts w:ascii="Arial" w:hAnsi="Arial" w:cs="Arial"/>
                      <w:lang w:val="en-US"/>
                    </w:rPr>
                  </w:pPr>
                  <w:r w:rsidRPr="009246FF">
                    <w:rPr>
                      <w:rFonts w:ascii="Arial" w:hAnsi="Arial" w:cs="Arial"/>
                      <w:lang w:val="en-US"/>
                    </w:rPr>
                    <w:t>N</w:t>
                  </w:r>
                </w:p>
              </w:tc>
              <w:tc>
                <w:tcPr>
                  <w:tcW w:w="996" w:type="dxa"/>
                </w:tcPr>
                <w:p w14:paraId="0CDF0714" w14:textId="50915DFA" w:rsidR="0030658E" w:rsidRPr="009246FF" w:rsidRDefault="0030658E" w:rsidP="008A227E">
                  <w:pPr>
                    <w:jc w:val="both"/>
                    <w:rPr>
                      <w:rFonts w:ascii="Arial" w:hAnsi="Arial" w:cs="Arial"/>
                      <w:lang w:val="en-US"/>
                    </w:rPr>
                  </w:pPr>
                  <w:r w:rsidRPr="009246FF">
                    <w:rPr>
                      <w:rFonts w:ascii="Arial" w:hAnsi="Arial" w:cs="Arial"/>
                      <w:lang w:val="en-US"/>
                    </w:rPr>
                    <w:t>N</w:t>
                  </w:r>
                </w:p>
              </w:tc>
            </w:tr>
            <w:tr w:rsidR="0030658E" w:rsidRPr="009246FF" w14:paraId="755BD737" w14:textId="77777777" w:rsidTr="00B41D78">
              <w:trPr>
                <w:trHeight w:val="221"/>
              </w:trPr>
              <w:tc>
                <w:tcPr>
                  <w:tcW w:w="1207" w:type="dxa"/>
                  <w:vMerge/>
                </w:tcPr>
                <w:p w14:paraId="67BA6FB9" w14:textId="77777777" w:rsidR="0030658E" w:rsidRPr="009246FF" w:rsidRDefault="0030658E" w:rsidP="0030658E">
                  <w:pPr>
                    <w:pStyle w:val="NoSpacing"/>
                    <w:rPr>
                      <w:rFonts w:ascii="Arial" w:hAnsi="Arial" w:cs="Arial"/>
                      <w:b/>
                      <w:bCs/>
                    </w:rPr>
                  </w:pPr>
                </w:p>
              </w:tc>
              <w:tc>
                <w:tcPr>
                  <w:tcW w:w="4633" w:type="dxa"/>
                </w:tcPr>
                <w:p w14:paraId="765CF33B" w14:textId="71D8F6A0" w:rsidR="0030658E" w:rsidRPr="009246FF" w:rsidRDefault="0030658E" w:rsidP="0030658E">
                  <w:pPr>
                    <w:pStyle w:val="NoSpacing"/>
                    <w:jc w:val="both"/>
                    <w:rPr>
                      <w:rFonts w:ascii="Arial" w:hAnsi="Arial" w:cs="Arial"/>
                    </w:rPr>
                  </w:pPr>
                  <w:r w:rsidRPr="009246FF">
                    <w:rPr>
                      <w:rFonts w:ascii="Arial" w:hAnsi="Arial" w:cs="Arial"/>
                    </w:rPr>
                    <w:t xml:space="preserve">Grey Plover Pluvialis </w:t>
                  </w:r>
                  <w:proofErr w:type="spellStart"/>
                  <w:r w:rsidRPr="009246FF">
                    <w:rPr>
                      <w:rFonts w:ascii="Arial" w:hAnsi="Arial" w:cs="Arial"/>
                    </w:rPr>
                    <w:t>squatarola</w:t>
                  </w:r>
                  <w:proofErr w:type="spellEnd"/>
                  <w:r w:rsidRPr="009246FF">
                    <w:rPr>
                      <w:rFonts w:ascii="Arial" w:hAnsi="Arial" w:cs="Arial"/>
                    </w:rPr>
                    <w:t xml:space="preserve"> (A141) </w:t>
                  </w:r>
                  <w:r w:rsidRPr="009246FF">
                    <w:rPr>
                      <w:rFonts w:ascii="Arial" w:hAnsi="Arial" w:cs="Arial"/>
                      <w:b/>
                    </w:rPr>
                    <w:t>M</w:t>
                  </w:r>
                  <w:r w:rsidRPr="009246FF">
                    <w:rPr>
                      <w:rFonts w:ascii="Arial" w:hAnsi="Arial" w:cs="Arial"/>
                    </w:rPr>
                    <w:t xml:space="preserve"> </w:t>
                  </w:r>
                </w:p>
              </w:tc>
              <w:tc>
                <w:tcPr>
                  <w:tcW w:w="1086" w:type="dxa"/>
                </w:tcPr>
                <w:p w14:paraId="66EC1545" w14:textId="33559E7B" w:rsidR="0030658E" w:rsidRPr="009246FF" w:rsidRDefault="0030658E" w:rsidP="0030658E">
                  <w:pPr>
                    <w:jc w:val="both"/>
                    <w:rPr>
                      <w:rFonts w:ascii="Arial" w:hAnsi="Arial" w:cs="Arial"/>
                      <w:lang w:val="en-US"/>
                    </w:rPr>
                  </w:pPr>
                  <w:r w:rsidRPr="009246FF">
                    <w:rPr>
                      <w:rFonts w:ascii="Arial" w:hAnsi="Arial" w:cs="Arial"/>
                      <w:lang w:val="en-US"/>
                    </w:rPr>
                    <w:t>Y</w:t>
                  </w:r>
                </w:p>
              </w:tc>
              <w:tc>
                <w:tcPr>
                  <w:tcW w:w="919" w:type="dxa"/>
                </w:tcPr>
                <w:p w14:paraId="09F8D535" w14:textId="6B02C81A" w:rsidR="0030658E" w:rsidRPr="009246FF" w:rsidRDefault="0030658E" w:rsidP="0030658E">
                  <w:pPr>
                    <w:jc w:val="both"/>
                    <w:rPr>
                      <w:rFonts w:ascii="Arial" w:hAnsi="Arial" w:cs="Arial"/>
                      <w:lang w:val="en-US"/>
                    </w:rPr>
                  </w:pPr>
                  <w:r w:rsidRPr="009246FF">
                    <w:rPr>
                      <w:rFonts w:ascii="Arial" w:hAnsi="Arial" w:cs="Arial"/>
                      <w:lang w:val="en-US"/>
                    </w:rPr>
                    <w:t>N</w:t>
                  </w:r>
                </w:p>
              </w:tc>
              <w:tc>
                <w:tcPr>
                  <w:tcW w:w="996" w:type="dxa"/>
                </w:tcPr>
                <w:p w14:paraId="2A17FD44" w14:textId="526293F0" w:rsidR="0030658E" w:rsidRPr="009246FF" w:rsidRDefault="0030658E" w:rsidP="0030658E">
                  <w:pPr>
                    <w:jc w:val="both"/>
                    <w:rPr>
                      <w:rFonts w:ascii="Arial" w:hAnsi="Arial" w:cs="Arial"/>
                      <w:lang w:val="en-US"/>
                    </w:rPr>
                  </w:pPr>
                  <w:r w:rsidRPr="009246FF">
                    <w:rPr>
                      <w:rFonts w:ascii="Arial" w:hAnsi="Arial" w:cs="Arial"/>
                      <w:lang w:val="en-US"/>
                    </w:rPr>
                    <w:t>N</w:t>
                  </w:r>
                </w:p>
              </w:tc>
            </w:tr>
            <w:tr w:rsidR="0030658E" w:rsidRPr="009246FF" w14:paraId="60C5E778" w14:textId="77777777" w:rsidTr="00AB462E">
              <w:trPr>
                <w:trHeight w:val="221"/>
              </w:trPr>
              <w:tc>
                <w:tcPr>
                  <w:tcW w:w="1207" w:type="dxa"/>
                  <w:vMerge/>
                </w:tcPr>
                <w:p w14:paraId="1A4D0CF9" w14:textId="77777777" w:rsidR="0030658E" w:rsidRPr="009246FF" w:rsidRDefault="0030658E" w:rsidP="0030658E">
                  <w:pPr>
                    <w:pStyle w:val="NoSpacing"/>
                    <w:rPr>
                      <w:rFonts w:ascii="Arial" w:hAnsi="Arial" w:cs="Arial"/>
                      <w:b/>
                      <w:bCs/>
                    </w:rPr>
                  </w:pPr>
                </w:p>
              </w:tc>
              <w:tc>
                <w:tcPr>
                  <w:tcW w:w="4633" w:type="dxa"/>
                </w:tcPr>
                <w:p w14:paraId="18F77703" w14:textId="1B3988A4" w:rsidR="0030658E" w:rsidRPr="00A34008" w:rsidRDefault="0030658E" w:rsidP="0030658E">
                  <w:pPr>
                    <w:pStyle w:val="NoSpacing"/>
                    <w:jc w:val="both"/>
                    <w:rPr>
                      <w:rFonts w:ascii="Arial" w:hAnsi="Arial" w:cs="Arial"/>
                      <w:lang w:val="it-IT"/>
                    </w:rPr>
                  </w:pPr>
                  <w:r w:rsidRPr="00A34008">
                    <w:rPr>
                      <w:rFonts w:ascii="Arial" w:hAnsi="Arial" w:cs="Arial"/>
                      <w:lang w:val="it-IT"/>
                    </w:rPr>
                    <w:t xml:space="preserve">Lapwing </w:t>
                  </w:r>
                  <w:r w:rsidRPr="00A34008">
                    <w:rPr>
                      <w:rFonts w:ascii="Arial" w:hAnsi="Arial" w:cs="Arial"/>
                      <w:i/>
                      <w:iCs/>
                      <w:lang w:val="it-IT"/>
                    </w:rPr>
                    <w:t xml:space="preserve">Vanellus vanellus </w:t>
                  </w:r>
                  <w:r w:rsidRPr="00A34008">
                    <w:rPr>
                      <w:rFonts w:ascii="Arial" w:hAnsi="Arial" w:cs="Arial"/>
                      <w:lang w:val="it-IT"/>
                    </w:rPr>
                    <w:t xml:space="preserve">(A142) </w:t>
                  </w:r>
                  <w:r w:rsidRPr="00A34008">
                    <w:rPr>
                      <w:rFonts w:ascii="Arial" w:hAnsi="Arial" w:cs="Arial"/>
                      <w:b/>
                      <w:lang w:val="it-IT"/>
                    </w:rPr>
                    <w:t>M</w:t>
                  </w:r>
                  <w:r w:rsidRPr="00A34008">
                    <w:rPr>
                      <w:rFonts w:ascii="Arial" w:hAnsi="Arial" w:cs="Arial"/>
                      <w:lang w:val="it-IT"/>
                    </w:rPr>
                    <w:t xml:space="preserve"> </w:t>
                  </w:r>
                </w:p>
              </w:tc>
              <w:tc>
                <w:tcPr>
                  <w:tcW w:w="1086" w:type="dxa"/>
                </w:tcPr>
                <w:p w14:paraId="689D7DA9" w14:textId="3A7ED6C0" w:rsidR="0030658E" w:rsidRPr="009246FF" w:rsidRDefault="0030658E" w:rsidP="0030658E">
                  <w:pPr>
                    <w:jc w:val="both"/>
                    <w:rPr>
                      <w:rFonts w:ascii="Arial" w:hAnsi="Arial" w:cs="Arial"/>
                      <w:lang w:val="en-US"/>
                    </w:rPr>
                  </w:pPr>
                  <w:r w:rsidRPr="009246FF">
                    <w:rPr>
                      <w:rFonts w:ascii="Arial" w:hAnsi="Arial" w:cs="Arial"/>
                      <w:lang w:val="en-US"/>
                    </w:rPr>
                    <w:t>Y</w:t>
                  </w:r>
                </w:p>
              </w:tc>
              <w:tc>
                <w:tcPr>
                  <w:tcW w:w="919" w:type="dxa"/>
                </w:tcPr>
                <w:p w14:paraId="7CEAB8D9" w14:textId="28B14004" w:rsidR="0030658E" w:rsidRPr="009246FF" w:rsidRDefault="0030658E" w:rsidP="0030658E">
                  <w:pPr>
                    <w:jc w:val="both"/>
                    <w:rPr>
                      <w:rFonts w:ascii="Arial" w:hAnsi="Arial" w:cs="Arial"/>
                      <w:lang w:val="en-US"/>
                    </w:rPr>
                  </w:pPr>
                  <w:r w:rsidRPr="009246FF">
                    <w:rPr>
                      <w:rFonts w:ascii="Arial" w:hAnsi="Arial" w:cs="Arial"/>
                      <w:lang w:val="en-US"/>
                    </w:rPr>
                    <w:t>N</w:t>
                  </w:r>
                </w:p>
              </w:tc>
              <w:tc>
                <w:tcPr>
                  <w:tcW w:w="996" w:type="dxa"/>
                </w:tcPr>
                <w:p w14:paraId="53C251B8" w14:textId="0EF29BAE" w:rsidR="0030658E" w:rsidRPr="009246FF" w:rsidRDefault="0030658E" w:rsidP="0030658E">
                  <w:pPr>
                    <w:jc w:val="both"/>
                    <w:rPr>
                      <w:rFonts w:ascii="Arial" w:hAnsi="Arial" w:cs="Arial"/>
                      <w:lang w:val="en-US"/>
                    </w:rPr>
                  </w:pPr>
                  <w:r w:rsidRPr="009246FF">
                    <w:rPr>
                      <w:rFonts w:ascii="Arial" w:hAnsi="Arial" w:cs="Arial"/>
                      <w:lang w:val="en-US"/>
                    </w:rPr>
                    <w:t>N</w:t>
                  </w:r>
                </w:p>
              </w:tc>
            </w:tr>
            <w:tr w:rsidR="0030658E" w:rsidRPr="009246FF" w14:paraId="0D2EA160" w14:textId="77777777" w:rsidTr="00B41D78">
              <w:trPr>
                <w:trHeight w:val="175"/>
              </w:trPr>
              <w:tc>
                <w:tcPr>
                  <w:tcW w:w="1207" w:type="dxa"/>
                  <w:vMerge/>
                </w:tcPr>
                <w:p w14:paraId="792E6C7E" w14:textId="77777777" w:rsidR="0030658E" w:rsidRPr="009246FF" w:rsidRDefault="0030658E" w:rsidP="0030658E">
                  <w:pPr>
                    <w:pStyle w:val="NoSpacing"/>
                    <w:rPr>
                      <w:rFonts w:ascii="Arial" w:hAnsi="Arial" w:cs="Arial"/>
                      <w:b/>
                      <w:bCs/>
                    </w:rPr>
                  </w:pPr>
                </w:p>
              </w:tc>
              <w:tc>
                <w:tcPr>
                  <w:tcW w:w="4633" w:type="dxa"/>
                </w:tcPr>
                <w:p w14:paraId="05051417" w14:textId="3D92EAC4" w:rsidR="0030658E" w:rsidRPr="009246FF" w:rsidRDefault="0030658E" w:rsidP="0030658E">
                  <w:pPr>
                    <w:pStyle w:val="NoSpacing"/>
                    <w:jc w:val="both"/>
                    <w:rPr>
                      <w:rFonts w:ascii="Arial" w:hAnsi="Arial" w:cs="Arial"/>
                      <w:b/>
                    </w:rPr>
                  </w:pPr>
                  <w:r w:rsidRPr="009246FF">
                    <w:rPr>
                      <w:rFonts w:ascii="Arial" w:hAnsi="Arial" w:cs="Arial"/>
                    </w:rPr>
                    <w:t xml:space="preserve">Knot </w:t>
                  </w:r>
                  <w:r w:rsidRPr="009246FF">
                    <w:rPr>
                      <w:rFonts w:ascii="Arial" w:hAnsi="Arial" w:cs="Arial"/>
                      <w:i/>
                      <w:iCs/>
                    </w:rPr>
                    <w:t xml:space="preserve">Calidris canutus (A143) </w:t>
                  </w:r>
                  <w:r w:rsidRPr="009246FF">
                    <w:rPr>
                      <w:rFonts w:ascii="Arial" w:hAnsi="Arial" w:cs="Arial"/>
                      <w:b/>
                    </w:rPr>
                    <w:t>M</w:t>
                  </w:r>
                </w:p>
              </w:tc>
              <w:tc>
                <w:tcPr>
                  <w:tcW w:w="1086" w:type="dxa"/>
                </w:tcPr>
                <w:p w14:paraId="2EE062A4" w14:textId="67952689" w:rsidR="0030658E" w:rsidRPr="009246FF" w:rsidRDefault="0030658E" w:rsidP="0030658E">
                  <w:pPr>
                    <w:jc w:val="both"/>
                    <w:rPr>
                      <w:rFonts w:ascii="Arial" w:hAnsi="Arial" w:cs="Arial"/>
                      <w:lang w:val="en-US"/>
                    </w:rPr>
                  </w:pPr>
                  <w:r w:rsidRPr="009246FF">
                    <w:rPr>
                      <w:rFonts w:ascii="Arial" w:hAnsi="Arial" w:cs="Arial"/>
                      <w:lang w:val="en-US"/>
                    </w:rPr>
                    <w:t>Y</w:t>
                  </w:r>
                </w:p>
              </w:tc>
              <w:tc>
                <w:tcPr>
                  <w:tcW w:w="919" w:type="dxa"/>
                </w:tcPr>
                <w:p w14:paraId="7134EE77" w14:textId="7EE6F9BC" w:rsidR="0030658E" w:rsidRPr="009246FF" w:rsidRDefault="0030658E" w:rsidP="0030658E">
                  <w:pPr>
                    <w:jc w:val="both"/>
                    <w:rPr>
                      <w:rFonts w:ascii="Arial" w:hAnsi="Arial" w:cs="Arial"/>
                      <w:lang w:val="en-US"/>
                    </w:rPr>
                  </w:pPr>
                  <w:r w:rsidRPr="009246FF">
                    <w:rPr>
                      <w:rFonts w:ascii="Arial" w:hAnsi="Arial" w:cs="Arial"/>
                      <w:lang w:val="en-US"/>
                    </w:rPr>
                    <w:t>N</w:t>
                  </w:r>
                </w:p>
              </w:tc>
              <w:tc>
                <w:tcPr>
                  <w:tcW w:w="996" w:type="dxa"/>
                </w:tcPr>
                <w:p w14:paraId="16AD309C" w14:textId="7A225247" w:rsidR="0030658E" w:rsidRPr="009246FF" w:rsidRDefault="0030658E" w:rsidP="0030658E">
                  <w:pPr>
                    <w:jc w:val="both"/>
                    <w:rPr>
                      <w:rFonts w:ascii="Arial" w:hAnsi="Arial" w:cs="Arial"/>
                      <w:lang w:val="en-US"/>
                    </w:rPr>
                  </w:pPr>
                  <w:r w:rsidRPr="009246FF">
                    <w:rPr>
                      <w:rFonts w:ascii="Arial" w:hAnsi="Arial" w:cs="Arial"/>
                      <w:lang w:val="en-US"/>
                    </w:rPr>
                    <w:t>N</w:t>
                  </w:r>
                </w:p>
              </w:tc>
            </w:tr>
            <w:tr w:rsidR="0030658E" w:rsidRPr="009246FF" w14:paraId="19585308" w14:textId="77777777" w:rsidTr="00B41D78">
              <w:trPr>
                <w:trHeight w:val="275"/>
              </w:trPr>
              <w:tc>
                <w:tcPr>
                  <w:tcW w:w="1207" w:type="dxa"/>
                  <w:vMerge/>
                </w:tcPr>
                <w:p w14:paraId="05B907A1" w14:textId="77777777" w:rsidR="0030658E" w:rsidRPr="009246FF" w:rsidRDefault="0030658E" w:rsidP="0030658E">
                  <w:pPr>
                    <w:pStyle w:val="NoSpacing"/>
                    <w:rPr>
                      <w:rFonts w:ascii="Arial" w:hAnsi="Arial" w:cs="Arial"/>
                      <w:b/>
                      <w:bCs/>
                    </w:rPr>
                  </w:pPr>
                </w:p>
              </w:tc>
              <w:tc>
                <w:tcPr>
                  <w:tcW w:w="4633" w:type="dxa"/>
                </w:tcPr>
                <w:p w14:paraId="26665048" w14:textId="1765ADFC" w:rsidR="0030658E" w:rsidRPr="009246FF" w:rsidRDefault="0030658E" w:rsidP="005668E7">
                  <w:pPr>
                    <w:pStyle w:val="NoSpacing"/>
                    <w:jc w:val="both"/>
                    <w:rPr>
                      <w:rFonts w:ascii="Arial" w:hAnsi="Arial" w:cs="Arial"/>
                    </w:rPr>
                  </w:pPr>
                  <w:r w:rsidRPr="009246FF">
                    <w:rPr>
                      <w:rFonts w:ascii="Arial" w:hAnsi="Arial" w:cs="Arial"/>
                    </w:rPr>
                    <w:t xml:space="preserve">Dunlin </w:t>
                  </w:r>
                  <w:r w:rsidRPr="009246FF">
                    <w:rPr>
                      <w:rFonts w:ascii="Arial" w:hAnsi="Arial" w:cs="Arial"/>
                      <w:i/>
                      <w:iCs/>
                    </w:rPr>
                    <w:t xml:space="preserve">Calidris </w:t>
                  </w:r>
                  <w:proofErr w:type="spellStart"/>
                  <w:r w:rsidRPr="009246FF">
                    <w:rPr>
                      <w:rFonts w:ascii="Arial" w:hAnsi="Arial" w:cs="Arial"/>
                      <w:i/>
                      <w:iCs/>
                    </w:rPr>
                    <w:t>alpina</w:t>
                  </w:r>
                  <w:proofErr w:type="spellEnd"/>
                  <w:r w:rsidRPr="009246FF">
                    <w:rPr>
                      <w:rFonts w:ascii="Arial" w:hAnsi="Arial" w:cs="Arial"/>
                      <w:i/>
                      <w:iCs/>
                    </w:rPr>
                    <w:t xml:space="preserve"> </w:t>
                  </w:r>
                  <w:r w:rsidRPr="009246FF">
                    <w:rPr>
                      <w:rFonts w:ascii="Arial" w:hAnsi="Arial" w:cs="Arial"/>
                    </w:rPr>
                    <w:t xml:space="preserve">(A149) </w:t>
                  </w:r>
                  <w:r w:rsidRPr="009246FF">
                    <w:rPr>
                      <w:rFonts w:ascii="Arial" w:hAnsi="Arial" w:cs="Arial"/>
                      <w:b/>
                    </w:rPr>
                    <w:t>M</w:t>
                  </w:r>
                  <w:r w:rsidRPr="009246FF">
                    <w:rPr>
                      <w:rFonts w:ascii="Arial" w:hAnsi="Arial" w:cs="Arial"/>
                    </w:rPr>
                    <w:t xml:space="preserve"> </w:t>
                  </w:r>
                </w:p>
              </w:tc>
              <w:tc>
                <w:tcPr>
                  <w:tcW w:w="1086" w:type="dxa"/>
                </w:tcPr>
                <w:p w14:paraId="3E2294C0" w14:textId="0FCE6F94" w:rsidR="0030658E" w:rsidRPr="009246FF" w:rsidRDefault="0030658E" w:rsidP="0030658E">
                  <w:pPr>
                    <w:jc w:val="both"/>
                    <w:rPr>
                      <w:rFonts w:ascii="Arial" w:hAnsi="Arial" w:cs="Arial"/>
                      <w:lang w:val="en-US"/>
                    </w:rPr>
                  </w:pPr>
                  <w:r w:rsidRPr="009246FF">
                    <w:rPr>
                      <w:rFonts w:ascii="Arial" w:hAnsi="Arial" w:cs="Arial"/>
                      <w:lang w:val="en-US"/>
                    </w:rPr>
                    <w:t>Y</w:t>
                  </w:r>
                </w:p>
              </w:tc>
              <w:tc>
                <w:tcPr>
                  <w:tcW w:w="919" w:type="dxa"/>
                </w:tcPr>
                <w:p w14:paraId="4FB1653D" w14:textId="57EDDECC" w:rsidR="0030658E" w:rsidRPr="009246FF" w:rsidRDefault="0030658E" w:rsidP="0030658E">
                  <w:pPr>
                    <w:jc w:val="both"/>
                    <w:rPr>
                      <w:rFonts w:ascii="Arial" w:hAnsi="Arial" w:cs="Arial"/>
                      <w:lang w:val="en-US"/>
                    </w:rPr>
                  </w:pPr>
                  <w:r w:rsidRPr="009246FF">
                    <w:rPr>
                      <w:rFonts w:ascii="Arial" w:hAnsi="Arial" w:cs="Arial"/>
                      <w:lang w:val="en-US"/>
                    </w:rPr>
                    <w:t>N</w:t>
                  </w:r>
                </w:p>
              </w:tc>
              <w:tc>
                <w:tcPr>
                  <w:tcW w:w="996" w:type="dxa"/>
                </w:tcPr>
                <w:p w14:paraId="6385A6AE" w14:textId="298A92B4" w:rsidR="0030658E" w:rsidRPr="009246FF" w:rsidRDefault="0030658E" w:rsidP="0030658E">
                  <w:pPr>
                    <w:jc w:val="both"/>
                    <w:rPr>
                      <w:rFonts w:ascii="Arial" w:hAnsi="Arial" w:cs="Arial"/>
                      <w:lang w:val="en-US"/>
                    </w:rPr>
                  </w:pPr>
                  <w:r w:rsidRPr="009246FF">
                    <w:rPr>
                      <w:rFonts w:ascii="Arial" w:hAnsi="Arial" w:cs="Arial"/>
                      <w:lang w:val="en-US"/>
                    </w:rPr>
                    <w:t>N</w:t>
                  </w:r>
                </w:p>
              </w:tc>
            </w:tr>
            <w:tr w:rsidR="00EC352E" w:rsidRPr="009246FF" w14:paraId="70AD92DF" w14:textId="77777777" w:rsidTr="00B41D78">
              <w:trPr>
                <w:trHeight w:val="297"/>
              </w:trPr>
              <w:tc>
                <w:tcPr>
                  <w:tcW w:w="1207" w:type="dxa"/>
                  <w:vMerge/>
                </w:tcPr>
                <w:p w14:paraId="4FF782A5" w14:textId="77777777" w:rsidR="00EC352E" w:rsidRPr="009246FF" w:rsidRDefault="00EC352E" w:rsidP="0030658E">
                  <w:pPr>
                    <w:pStyle w:val="NoSpacing"/>
                    <w:rPr>
                      <w:rFonts w:ascii="Arial" w:hAnsi="Arial" w:cs="Arial"/>
                      <w:b/>
                      <w:bCs/>
                    </w:rPr>
                  </w:pPr>
                </w:p>
              </w:tc>
              <w:tc>
                <w:tcPr>
                  <w:tcW w:w="4633" w:type="dxa"/>
                </w:tcPr>
                <w:p w14:paraId="655BDB91" w14:textId="49414EA8" w:rsidR="00EC352E" w:rsidRPr="009246FF" w:rsidRDefault="00EC352E" w:rsidP="005668E7">
                  <w:pPr>
                    <w:pStyle w:val="NoSpacing"/>
                    <w:jc w:val="both"/>
                    <w:rPr>
                      <w:rFonts w:ascii="Arial" w:hAnsi="Arial" w:cs="Arial"/>
                    </w:rPr>
                  </w:pPr>
                  <w:r w:rsidRPr="009246FF">
                    <w:rPr>
                      <w:rFonts w:ascii="Arial" w:hAnsi="Arial" w:cs="Arial"/>
                    </w:rPr>
                    <w:t xml:space="preserve">Black-tailed Godwit </w:t>
                  </w:r>
                  <w:r w:rsidRPr="009246FF">
                    <w:rPr>
                      <w:rFonts w:ascii="Arial" w:hAnsi="Arial" w:cs="Arial"/>
                      <w:i/>
                      <w:iCs/>
                    </w:rPr>
                    <w:t xml:space="preserve">Limosa </w:t>
                  </w:r>
                  <w:proofErr w:type="spellStart"/>
                  <w:r w:rsidRPr="009246FF">
                    <w:rPr>
                      <w:rFonts w:ascii="Arial" w:hAnsi="Arial" w:cs="Arial"/>
                      <w:i/>
                      <w:iCs/>
                    </w:rPr>
                    <w:t>limosa</w:t>
                  </w:r>
                  <w:proofErr w:type="spellEnd"/>
                  <w:r w:rsidRPr="009246FF">
                    <w:rPr>
                      <w:rFonts w:ascii="Arial" w:hAnsi="Arial" w:cs="Arial"/>
                      <w:i/>
                      <w:iCs/>
                    </w:rPr>
                    <w:t xml:space="preserve"> </w:t>
                  </w:r>
                  <w:r w:rsidRPr="009246FF">
                    <w:rPr>
                      <w:rFonts w:ascii="Arial" w:hAnsi="Arial" w:cs="Arial"/>
                    </w:rPr>
                    <w:t xml:space="preserve">(A156) </w:t>
                  </w:r>
                  <w:r w:rsidRPr="009246FF">
                    <w:rPr>
                      <w:rFonts w:ascii="Arial" w:hAnsi="Arial" w:cs="Arial"/>
                      <w:b/>
                    </w:rPr>
                    <w:t>M</w:t>
                  </w:r>
                  <w:r w:rsidRPr="009246FF">
                    <w:rPr>
                      <w:rFonts w:ascii="Arial" w:hAnsi="Arial" w:cs="Arial"/>
                    </w:rPr>
                    <w:t xml:space="preserve"> </w:t>
                  </w:r>
                </w:p>
              </w:tc>
              <w:tc>
                <w:tcPr>
                  <w:tcW w:w="1086" w:type="dxa"/>
                </w:tcPr>
                <w:p w14:paraId="10032B89" w14:textId="6B4F1511" w:rsidR="00EC352E" w:rsidRPr="009246FF" w:rsidRDefault="00EC352E" w:rsidP="00EC352E">
                  <w:pPr>
                    <w:jc w:val="both"/>
                    <w:rPr>
                      <w:rFonts w:ascii="Arial" w:hAnsi="Arial" w:cs="Arial"/>
                      <w:lang w:val="en-US"/>
                    </w:rPr>
                  </w:pPr>
                  <w:r w:rsidRPr="009246FF">
                    <w:rPr>
                      <w:rFonts w:ascii="Arial" w:hAnsi="Arial" w:cs="Arial"/>
                      <w:lang w:val="en-US"/>
                    </w:rPr>
                    <w:t>Y</w:t>
                  </w:r>
                </w:p>
              </w:tc>
              <w:tc>
                <w:tcPr>
                  <w:tcW w:w="919" w:type="dxa"/>
                </w:tcPr>
                <w:p w14:paraId="64A9E2C9" w14:textId="5A51439D" w:rsidR="00EC352E" w:rsidRPr="009246FF" w:rsidRDefault="00EC352E" w:rsidP="00EC352E">
                  <w:pPr>
                    <w:jc w:val="both"/>
                    <w:rPr>
                      <w:rFonts w:ascii="Arial" w:hAnsi="Arial" w:cs="Arial"/>
                      <w:lang w:val="en-US"/>
                    </w:rPr>
                  </w:pPr>
                  <w:r w:rsidRPr="009246FF">
                    <w:rPr>
                      <w:rFonts w:ascii="Arial" w:hAnsi="Arial" w:cs="Arial"/>
                      <w:lang w:val="en-US"/>
                    </w:rPr>
                    <w:t>N</w:t>
                  </w:r>
                </w:p>
              </w:tc>
              <w:tc>
                <w:tcPr>
                  <w:tcW w:w="996" w:type="dxa"/>
                </w:tcPr>
                <w:p w14:paraId="646E25D0" w14:textId="5E43A541" w:rsidR="00EC352E" w:rsidRPr="009246FF" w:rsidRDefault="00EC352E" w:rsidP="00EC352E">
                  <w:pPr>
                    <w:jc w:val="both"/>
                    <w:rPr>
                      <w:rFonts w:ascii="Arial" w:hAnsi="Arial" w:cs="Arial"/>
                      <w:lang w:val="en-US"/>
                    </w:rPr>
                  </w:pPr>
                  <w:r w:rsidRPr="009246FF">
                    <w:rPr>
                      <w:rFonts w:ascii="Arial" w:hAnsi="Arial" w:cs="Arial"/>
                      <w:lang w:val="en-US"/>
                    </w:rPr>
                    <w:t>N</w:t>
                  </w:r>
                </w:p>
              </w:tc>
            </w:tr>
            <w:tr w:rsidR="00EC352E" w:rsidRPr="009246FF" w14:paraId="265443CA" w14:textId="77777777" w:rsidTr="00B41D78">
              <w:trPr>
                <w:trHeight w:val="319"/>
              </w:trPr>
              <w:tc>
                <w:tcPr>
                  <w:tcW w:w="1207" w:type="dxa"/>
                  <w:vMerge/>
                </w:tcPr>
                <w:p w14:paraId="26472FB0" w14:textId="77777777" w:rsidR="00EC352E" w:rsidRPr="009246FF" w:rsidRDefault="00EC352E" w:rsidP="0030658E">
                  <w:pPr>
                    <w:pStyle w:val="NoSpacing"/>
                    <w:rPr>
                      <w:rFonts w:ascii="Arial" w:hAnsi="Arial" w:cs="Arial"/>
                      <w:b/>
                      <w:bCs/>
                    </w:rPr>
                  </w:pPr>
                </w:p>
              </w:tc>
              <w:tc>
                <w:tcPr>
                  <w:tcW w:w="4633" w:type="dxa"/>
                </w:tcPr>
                <w:p w14:paraId="13FD4836" w14:textId="54FFF24A" w:rsidR="00EC352E" w:rsidRPr="009246FF" w:rsidRDefault="00EC352E" w:rsidP="00B41D78">
                  <w:pPr>
                    <w:pStyle w:val="NoSpacing"/>
                    <w:jc w:val="both"/>
                    <w:rPr>
                      <w:rFonts w:ascii="Arial" w:hAnsi="Arial" w:cs="Arial"/>
                    </w:rPr>
                  </w:pPr>
                  <w:r w:rsidRPr="009246FF">
                    <w:rPr>
                      <w:rFonts w:ascii="Arial" w:hAnsi="Arial" w:cs="Arial"/>
                    </w:rPr>
                    <w:t xml:space="preserve">Bar-tailed Godwit </w:t>
                  </w:r>
                  <w:r w:rsidRPr="009246FF">
                    <w:rPr>
                      <w:rFonts w:ascii="Arial" w:hAnsi="Arial" w:cs="Arial"/>
                      <w:i/>
                      <w:iCs/>
                    </w:rPr>
                    <w:t xml:space="preserve">Limosa </w:t>
                  </w:r>
                  <w:proofErr w:type="spellStart"/>
                  <w:r w:rsidRPr="009246FF">
                    <w:rPr>
                      <w:rFonts w:ascii="Arial" w:hAnsi="Arial" w:cs="Arial"/>
                      <w:i/>
                      <w:iCs/>
                    </w:rPr>
                    <w:t>lapponica</w:t>
                  </w:r>
                  <w:proofErr w:type="spellEnd"/>
                  <w:r w:rsidRPr="009246FF">
                    <w:rPr>
                      <w:rFonts w:ascii="Arial" w:hAnsi="Arial" w:cs="Arial"/>
                      <w:i/>
                      <w:iCs/>
                    </w:rPr>
                    <w:t xml:space="preserve"> </w:t>
                  </w:r>
                  <w:r w:rsidRPr="009246FF">
                    <w:rPr>
                      <w:rFonts w:ascii="Arial" w:hAnsi="Arial" w:cs="Arial"/>
                    </w:rPr>
                    <w:t xml:space="preserve">(A157) </w:t>
                  </w:r>
                  <w:r w:rsidRPr="009246FF">
                    <w:rPr>
                      <w:rFonts w:ascii="Arial" w:hAnsi="Arial" w:cs="Arial"/>
                      <w:b/>
                    </w:rPr>
                    <w:t>M</w:t>
                  </w:r>
                  <w:r w:rsidRPr="009246FF">
                    <w:rPr>
                      <w:rFonts w:ascii="Arial" w:hAnsi="Arial" w:cs="Arial"/>
                    </w:rPr>
                    <w:t xml:space="preserve"> </w:t>
                  </w:r>
                </w:p>
              </w:tc>
              <w:tc>
                <w:tcPr>
                  <w:tcW w:w="1086" w:type="dxa"/>
                </w:tcPr>
                <w:p w14:paraId="76C7F35A" w14:textId="17CA54F1" w:rsidR="00EC352E" w:rsidRPr="009246FF" w:rsidRDefault="00EC352E" w:rsidP="00EC352E">
                  <w:pPr>
                    <w:jc w:val="both"/>
                    <w:rPr>
                      <w:rFonts w:ascii="Arial" w:hAnsi="Arial" w:cs="Arial"/>
                      <w:lang w:val="en-US"/>
                    </w:rPr>
                  </w:pPr>
                  <w:r w:rsidRPr="009246FF">
                    <w:rPr>
                      <w:rFonts w:ascii="Arial" w:hAnsi="Arial" w:cs="Arial"/>
                      <w:lang w:val="en-US"/>
                    </w:rPr>
                    <w:t>Y</w:t>
                  </w:r>
                </w:p>
              </w:tc>
              <w:tc>
                <w:tcPr>
                  <w:tcW w:w="919" w:type="dxa"/>
                </w:tcPr>
                <w:p w14:paraId="6FCFC0EF" w14:textId="3E5035AC" w:rsidR="00EC352E" w:rsidRPr="009246FF" w:rsidRDefault="00EC352E" w:rsidP="00EC352E">
                  <w:pPr>
                    <w:jc w:val="both"/>
                    <w:rPr>
                      <w:rFonts w:ascii="Arial" w:hAnsi="Arial" w:cs="Arial"/>
                      <w:lang w:val="en-US"/>
                    </w:rPr>
                  </w:pPr>
                  <w:r w:rsidRPr="009246FF">
                    <w:rPr>
                      <w:rFonts w:ascii="Arial" w:hAnsi="Arial" w:cs="Arial"/>
                      <w:lang w:val="en-US"/>
                    </w:rPr>
                    <w:t>N</w:t>
                  </w:r>
                </w:p>
              </w:tc>
              <w:tc>
                <w:tcPr>
                  <w:tcW w:w="996" w:type="dxa"/>
                </w:tcPr>
                <w:p w14:paraId="10299560" w14:textId="7421817C" w:rsidR="00EC352E" w:rsidRPr="009246FF" w:rsidRDefault="00EC352E" w:rsidP="00EC352E">
                  <w:pPr>
                    <w:jc w:val="both"/>
                    <w:rPr>
                      <w:rFonts w:ascii="Arial" w:hAnsi="Arial" w:cs="Arial"/>
                      <w:lang w:val="en-US"/>
                    </w:rPr>
                  </w:pPr>
                  <w:r w:rsidRPr="009246FF">
                    <w:rPr>
                      <w:rFonts w:ascii="Arial" w:hAnsi="Arial" w:cs="Arial"/>
                      <w:lang w:val="en-US"/>
                    </w:rPr>
                    <w:t>N</w:t>
                  </w:r>
                </w:p>
              </w:tc>
            </w:tr>
            <w:tr w:rsidR="00EC352E" w:rsidRPr="009246FF" w14:paraId="52AAB821" w14:textId="77777777" w:rsidTr="00B41D78">
              <w:trPr>
                <w:trHeight w:val="203"/>
              </w:trPr>
              <w:tc>
                <w:tcPr>
                  <w:tcW w:w="1207" w:type="dxa"/>
                  <w:vMerge/>
                </w:tcPr>
                <w:p w14:paraId="3FD7F931" w14:textId="77777777" w:rsidR="00EC352E" w:rsidRPr="009246FF" w:rsidRDefault="00EC352E" w:rsidP="0030658E">
                  <w:pPr>
                    <w:pStyle w:val="NoSpacing"/>
                    <w:rPr>
                      <w:rFonts w:ascii="Arial" w:hAnsi="Arial" w:cs="Arial"/>
                      <w:b/>
                      <w:bCs/>
                    </w:rPr>
                  </w:pPr>
                </w:p>
              </w:tc>
              <w:tc>
                <w:tcPr>
                  <w:tcW w:w="4633" w:type="dxa"/>
                </w:tcPr>
                <w:p w14:paraId="5B7FA584" w14:textId="409A9D40" w:rsidR="00EC352E" w:rsidRPr="00A34008" w:rsidRDefault="00EC352E" w:rsidP="00B41D78">
                  <w:pPr>
                    <w:pStyle w:val="NoSpacing"/>
                    <w:jc w:val="both"/>
                    <w:rPr>
                      <w:rFonts w:ascii="Arial" w:hAnsi="Arial" w:cs="Arial"/>
                      <w:lang w:val="it-IT"/>
                    </w:rPr>
                  </w:pPr>
                  <w:r w:rsidRPr="00A34008">
                    <w:rPr>
                      <w:rFonts w:ascii="Arial" w:hAnsi="Arial" w:cs="Arial"/>
                      <w:lang w:val="it-IT"/>
                    </w:rPr>
                    <w:t xml:space="preserve">Curlew </w:t>
                  </w:r>
                  <w:r w:rsidRPr="00A34008">
                    <w:rPr>
                      <w:rFonts w:ascii="Arial" w:hAnsi="Arial" w:cs="Arial"/>
                      <w:i/>
                      <w:iCs/>
                      <w:lang w:val="it-IT"/>
                    </w:rPr>
                    <w:t>Numenius arquata</w:t>
                  </w:r>
                  <w:r w:rsidRPr="00A34008">
                    <w:rPr>
                      <w:rFonts w:ascii="Arial" w:hAnsi="Arial" w:cs="Arial"/>
                      <w:lang w:val="it-IT"/>
                    </w:rPr>
                    <w:t xml:space="preserve"> (A160) </w:t>
                  </w:r>
                  <w:r w:rsidRPr="00A34008">
                    <w:rPr>
                      <w:rFonts w:ascii="Arial" w:hAnsi="Arial" w:cs="Arial"/>
                      <w:b/>
                      <w:lang w:val="it-IT"/>
                    </w:rPr>
                    <w:t>M</w:t>
                  </w:r>
                  <w:r w:rsidRPr="00A34008">
                    <w:rPr>
                      <w:rFonts w:ascii="Arial" w:hAnsi="Arial" w:cs="Arial"/>
                      <w:lang w:val="it-IT"/>
                    </w:rPr>
                    <w:t xml:space="preserve"> </w:t>
                  </w:r>
                </w:p>
              </w:tc>
              <w:tc>
                <w:tcPr>
                  <w:tcW w:w="1086" w:type="dxa"/>
                </w:tcPr>
                <w:p w14:paraId="4AFD9531" w14:textId="4C76B3B7" w:rsidR="00EC352E" w:rsidRPr="009246FF" w:rsidRDefault="00EC352E" w:rsidP="00EC352E">
                  <w:pPr>
                    <w:jc w:val="both"/>
                    <w:rPr>
                      <w:rFonts w:ascii="Arial" w:hAnsi="Arial" w:cs="Arial"/>
                      <w:lang w:val="en-US"/>
                    </w:rPr>
                  </w:pPr>
                  <w:r w:rsidRPr="009246FF">
                    <w:rPr>
                      <w:rFonts w:ascii="Arial" w:hAnsi="Arial" w:cs="Arial"/>
                      <w:lang w:val="en-US"/>
                    </w:rPr>
                    <w:t>Y</w:t>
                  </w:r>
                </w:p>
              </w:tc>
              <w:tc>
                <w:tcPr>
                  <w:tcW w:w="919" w:type="dxa"/>
                </w:tcPr>
                <w:p w14:paraId="7D514347" w14:textId="1786DB6D" w:rsidR="00EC352E" w:rsidRPr="009246FF" w:rsidRDefault="00EC352E" w:rsidP="00EC352E">
                  <w:pPr>
                    <w:jc w:val="both"/>
                    <w:rPr>
                      <w:rFonts w:ascii="Arial" w:hAnsi="Arial" w:cs="Arial"/>
                      <w:lang w:val="en-US"/>
                    </w:rPr>
                  </w:pPr>
                  <w:r w:rsidRPr="009246FF">
                    <w:rPr>
                      <w:rFonts w:ascii="Arial" w:hAnsi="Arial" w:cs="Arial"/>
                      <w:lang w:val="en-US"/>
                    </w:rPr>
                    <w:t>N</w:t>
                  </w:r>
                </w:p>
              </w:tc>
              <w:tc>
                <w:tcPr>
                  <w:tcW w:w="996" w:type="dxa"/>
                </w:tcPr>
                <w:p w14:paraId="318EE9C3" w14:textId="538E37D3" w:rsidR="00EC352E" w:rsidRPr="009246FF" w:rsidRDefault="00EC352E" w:rsidP="00EC352E">
                  <w:pPr>
                    <w:jc w:val="both"/>
                    <w:rPr>
                      <w:rFonts w:ascii="Arial" w:hAnsi="Arial" w:cs="Arial"/>
                      <w:lang w:val="en-US"/>
                    </w:rPr>
                  </w:pPr>
                  <w:r w:rsidRPr="009246FF">
                    <w:rPr>
                      <w:rFonts w:ascii="Arial" w:hAnsi="Arial" w:cs="Arial"/>
                      <w:lang w:val="en-US"/>
                    </w:rPr>
                    <w:t>N</w:t>
                  </w:r>
                </w:p>
              </w:tc>
            </w:tr>
            <w:tr w:rsidR="00EC352E" w:rsidRPr="009246FF" w14:paraId="3CBA75D0" w14:textId="77777777" w:rsidTr="00B41D78">
              <w:trPr>
                <w:trHeight w:val="125"/>
              </w:trPr>
              <w:tc>
                <w:tcPr>
                  <w:tcW w:w="1207" w:type="dxa"/>
                  <w:vMerge/>
                </w:tcPr>
                <w:p w14:paraId="58CAF5DF" w14:textId="77777777" w:rsidR="00EC352E" w:rsidRPr="009246FF" w:rsidRDefault="00EC352E" w:rsidP="0030658E">
                  <w:pPr>
                    <w:pStyle w:val="NoSpacing"/>
                    <w:rPr>
                      <w:rFonts w:ascii="Arial" w:hAnsi="Arial" w:cs="Arial"/>
                      <w:b/>
                      <w:bCs/>
                    </w:rPr>
                  </w:pPr>
                </w:p>
              </w:tc>
              <w:tc>
                <w:tcPr>
                  <w:tcW w:w="4633" w:type="dxa"/>
                </w:tcPr>
                <w:p w14:paraId="7D474A91" w14:textId="69F139A7" w:rsidR="00EC352E" w:rsidRPr="009246FF" w:rsidRDefault="00EC352E" w:rsidP="00B41D78">
                  <w:pPr>
                    <w:pStyle w:val="NoSpacing"/>
                    <w:jc w:val="both"/>
                    <w:rPr>
                      <w:rFonts w:ascii="Arial" w:hAnsi="Arial" w:cs="Arial"/>
                    </w:rPr>
                  </w:pPr>
                  <w:r w:rsidRPr="009246FF">
                    <w:rPr>
                      <w:rFonts w:ascii="Arial" w:hAnsi="Arial" w:cs="Arial"/>
                    </w:rPr>
                    <w:t xml:space="preserve">Redshank </w:t>
                  </w:r>
                  <w:r w:rsidRPr="009246FF">
                    <w:rPr>
                      <w:rFonts w:ascii="Arial" w:hAnsi="Arial" w:cs="Arial"/>
                      <w:i/>
                      <w:iCs/>
                    </w:rPr>
                    <w:t xml:space="preserve">Tringa </w:t>
                  </w:r>
                  <w:proofErr w:type="spellStart"/>
                  <w:r w:rsidRPr="009246FF">
                    <w:rPr>
                      <w:rFonts w:ascii="Arial" w:hAnsi="Arial" w:cs="Arial"/>
                      <w:i/>
                      <w:iCs/>
                    </w:rPr>
                    <w:t>totanus</w:t>
                  </w:r>
                  <w:proofErr w:type="spellEnd"/>
                  <w:r w:rsidRPr="009246FF">
                    <w:rPr>
                      <w:rFonts w:ascii="Arial" w:hAnsi="Arial" w:cs="Arial"/>
                    </w:rPr>
                    <w:t xml:space="preserve"> (A162) </w:t>
                  </w:r>
                  <w:r w:rsidRPr="009246FF">
                    <w:rPr>
                      <w:rFonts w:ascii="Arial" w:hAnsi="Arial" w:cs="Arial"/>
                      <w:b/>
                    </w:rPr>
                    <w:t>M</w:t>
                  </w:r>
                  <w:r w:rsidRPr="009246FF">
                    <w:rPr>
                      <w:rFonts w:ascii="Arial" w:hAnsi="Arial" w:cs="Arial"/>
                    </w:rPr>
                    <w:t xml:space="preserve"> </w:t>
                  </w:r>
                </w:p>
              </w:tc>
              <w:tc>
                <w:tcPr>
                  <w:tcW w:w="1086" w:type="dxa"/>
                </w:tcPr>
                <w:p w14:paraId="3304A5B9" w14:textId="1339FC0F" w:rsidR="00EC352E" w:rsidRPr="009246FF" w:rsidRDefault="00EC352E" w:rsidP="00EC352E">
                  <w:pPr>
                    <w:jc w:val="both"/>
                    <w:rPr>
                      <w:rFonts w:ascii="Arial" w:hAnsi="Arial" w:cs="Arial"/>
                      <w:lang w:val="en-US"/>
                    </w:rPr>
                  </w:pPr>
                  <w:r w:rsidRPr="009246FF">
                    <w:rPr>
                      <w:rFonts w:ascii="Arial" w:hAnsi="Arial" w:cs="Arial"/>
                      <w:lang w:val="en-US"/>
                    </w:rPr>
                    <w:t>Y</w:t>
                  </w:r>
                </w:p>
              </w:tc>
              <w:tc>
                <w:tcPr>
                  <w:tcW w:w="919" w:type="dxa"/>
                </w:tcPr>
                <w:p w14:paraId="54566639" w14:textId="7BA338AF" w:rsidR="00EC352E" w:rsidRPr="009246FF" w:rsidRDefault="00EC352E" w:rsidP="00EC352E">
                  <w:pPr>
                    <w:jc w:val="both"/>
                    <w:rPr>
                      <w:rFonts w:ascii="Arial" w:hAnsi="Arial" w:cs="Arial"/>
                      <w:lang w:val="en-US"/>
                    </w:rPr>
                  </w:pPr>
                  <w:r w:rsidRPr="009246FF">
                    <w:rPr>
                      <w:rFonts w:ascii="Arial" w:hAnsi="Arial" w:cs="Arial"/>
                      <w:lang w:val="en-US"/>
                    </w:rPr>
                    <w:t>N</w:t>
                  </w:r>
                </w:p>
              </w:tc>
              <w:tc>
                <w:tcPr>
                  <w:tcW w:w="996" w:type="dxa"/>
                </w:tcPr>
                <w:p w14:paraId="119C8582" w14:textId="025BD3F7" w:rsidR="00EC352E" w:rsidRPr="009246FF" w:rsidRDefault="00EC352E" w:rsidP="00EC352E">
                  <w:pPr>
                    <w:jc w:val="both"/>
                    <w:rPr>
                      <w:rFonts w:ascii="Arial" w:hAnsi="Arial" w:cs="Arial"/>
                      <w:lang w:val="en-US"/>
                    </w:rPr>
                  </w:pPr>
                  <w:r w:rsidRPr="009246FF">
                    <w:rPr>
                      <w:rFonts w:ascii="Arial" w:hAnsi="Arial" w:cs="Arial"/>
                      <w:lang w:val="en-US"/>
                    </w:rPr>
                    <w:t>N</w:t>
                  </w:r>
                </w:p>
              </w:tc>
            </w:tr>
            <w:tr w:rsidR="00EC352E" w:rsidRPr="009246FF" w14:paraId="6B9AE563" w14:textId="77777777" w:rsidTr="00B41D78">
              <w:trPr>
                <w:trHeight w:val="225"/>
              </w:trPr>
              <w:tc>
                <w:tcPr>
                  <w:tcW w:w="1207" w:type="dxa"/>
                  <w:vMerge/>
                </w:tcPr>
                <w:p w14:paraId="55027354" w14:textId="77777777" w:rsidR="00EC352E" w:rsidRPr="009246FF" w:rsidRDefault="00EC352E" w:rsidP="0030658E">
                  <w:pPr>
                    <w:pStyle w:val="NoSpacing"/>
                    <w:rPr>
                      <w:rFonts w:ascii="Arial" w:hAnsi="Arial" w:cs="Arial"/>
                      <w:b/>
                      <w:bCs/>
                    </w:rPr>
                  </w:pPr>
                </w:p>
              </w:tc>
              <w:tc>
                <w:tcPr>
                  <w:tcW w:w="4633" w:type="dxa"/>
                </w:tcPr>
                <w:p w14:paraId="5A0F5001" w14:textId="083999EC" w:rsidR="00EC352E" w:rsidRPr="009246FF" w:rsidRDefault="00EC352E" w:rsidP="00B41D78">
                  <w:pPr>
                    <w:pStyle w:val="NoSpacing"/>
                    <w:jc w:val="both"/>
                    <w:rPr>
                      <w:rFonts w:ascii="Arial" w:hAnsi="Arial" w:cs="Arial"/>
                    </w:rPr>
                  </w:pPr>
                  <w:r w:rsidRPr="009246FF">
                    <w:rPr>
                      <w:rFonts w:ascii="Arial" w:hAnsi="Arial" w:cs="Arial"/>
                    </w:rPr>
                    <w:t xml:space="preserve">Greenshank </w:t>
                  </w:r>
                  <w:r w:rsidRPr="009246FF">
                    <w:rPr>
                      <w:rFonts w:ascii="Arial" w:hAnsi="Arial" w:cs="Arial"/>
                      <w:i/>
                      <w:iCs/>
                    </w:rPr>
                    <w:t xml:space="preserve">Tringa </w:t>
                  </w:r>
                  <w:proofErr w:type="spellStart"/>
                  <w:r w:rsidRPr="009246FF">
                    <w:rPr>
                      <w:rFonts w:ascii="Arial" w:hAnsi="Arial" w:cs="Arial"/>
                      <w:i/>
                      <w:iCs/>
                    </w:rPr>
                    <w:t>nebularia</w:t>
                  </w:r>
                  <w:proofErr w:type="spellEnd"/>
                  <w:r w:rsidRPr="009246FF">
                    <w:rPr>
                      <w:rFonts w:ascii="Arial" w:hAnsi="Arial" w:cs="Arial"/>
                      <w:i/>
                      <w:iCs/>
                    </w:rPr>
                    <w:t xml:space="preserve"> </w:t>
                  </w:r>
                  <w:r w:rsidRPr="009246FF">
                    <w:rPr>
                      <w:rFonts w:ascii="Arial" w:hAnsi="Arial" w:cs="Arial"/>
                    </w:rPr>
                    <w:t xml:space="preserve">(A164) </w:t>
                  </w:r>
                  <w:r w:rsidRPr="009246FF">
                    <w:rPr>
                      <w:rFonts w:ascii="Arial" w:hAnsi="Arial" w:cs="Arial"/>
                      <w:b/>
                    </w:rPr>
                    <w:t>M</w:t>
                  </w:r>
                  <w:r w:rsidRPr="009246FF">
                    <w:rPr>
                      <w:rFonts w:ascii="Arial" w:hAnsi="Arial" w:cs="Arial"/>
                    </w:rPr>
                    <w:t xml:space="preserve"> </w:t>
                  </w:r>
                </w:p>
              </w:tc>
              <w:tc>
                <w:tcPr>
                  <w:tcW w:w="1086" w:type="dxa"/>
                </w:tcPr>
                <w:p w14:paraId="187D252F" w14:textId="2EC37B67" w:rsidR="00EC352E" w:rsidRPr="009246FF" w:rsidRDefault="00EC352E" w:rsidP="00EC352E">
                  <w:pPr>
                    <w:jc w:val="both"/>
                    <w:rPr>
                      <w:rFonts w:ascii="Arial" w:hAnsi="Arial" w:cs="Arial"/>
                      <w:lang w:val="en-US"/>
                    </w:rPr>
                  </w:pPr>
                  <w:r w:rsidRPr="009246FF">
                    <w:rPr>
                      <w:rFonts w:ascii="Arial" w:hAnsi="Arial" w:cs="Arial"/>
                      <w:lang w:val="en-US"/>
                    </w:rPr>
                    <w:t>Y</w:t>
                  </w:r>
                </w:p>
              </w:tc>
              <w:tc>
                <w:tcPr>
                  <w:tcW w:w="919" w:type="dxa"/>
                </w:tcPr>
                <w:p w14:paraId="1408485B" w14:textId="729286B9" w:rsidR="00EC352E" w:rsidRPr="009246FF" w:rsidRDefault="00EC352E" w:rsidP="00EC352E">
                  <w:pPr>
                    <w:jc w:val="both"/>
                    <w:rPr>
                      <w:rFonts w:ascii="Arial" w:hAnsi="Arial" w:cs="Arial"/>
                      <w:lang w:val="en-US"/>
                    </w:rPr>
                  </w:pPr>
                  <w:r w:rsidRPr="009246FF">
                    <w:rPr>
                      <w:rFonts w:ascii="Arial" w:hAnsi="Arial" w:cs="Arial"/>
                      <w:lang w:val="en-US"/>
                    </w:rPr>
                    <w:t>N</w:t>
                  </w:r>
                </w:p>
              </w:tc>
              <w:tc>
                <w:tcPr>
                  <w:tcW w:w="996" w:type="dxa"/>
                </w:tcPr>
                <w:p w14:paraId="1CCC7B17" w14:textId="319C8AD3" w:rsidR="00EC352E" w:rsidRPr="009246FF" w:rsidRDefault="00EC352E" w:rsidP="00EC352E">
                  <w:pPr>
                    <w:jc w:val="both"/>
                    <w:rPr>
                      <w:rFonts w:ascii="Arial" w:hAnsi="Arial" w:cs="Arial"/>
                      <w:lang w:val="en-US"/>
                    </w:rPr>
                  </w:pPr>
                  <w:r w:rsidRPr="009246FF">
                    <w:rPr>
                      <w:rFonts w:ascii="Arial" w:hAnsi="Arial" w:cs="Arial"/>
                      <w:lang w:val="en-US"/>
                    </w:rPr>
                    <w:t>N</w:t>
                  </w:r>
                </w:p>
              </w:tc>
            </w:tr>
            <w:tr w:rsidR="00B41D78" w:rsidRPr="009246FF" w14:paraId="1A76F3D9" w14:textId="77777777" w:rsidTr="00B41D78">
              <w:trPr>
                <w:trHeight w:val="557"/>
              </w:trPr>
              <w:tc>
                <w:tcPr>
                  <w:tcW w:w="1207" w:type="dxa"/>
                  <w:vMerge/>
                </w:tcPr>
                <w:p w14:paraId="0B441BE2" w14:textId="77777777" w:rsidR="00B41D78" w:rsidRPr="009246FF" w:rsidRDefault="00B41D78" w:rsidP="0030658E">
                  <w:pPr>
                    <w:pStyle w:val="NoSpacing"/>
                    <w:rPr>
                      <w:rFonts w:ascii="Arial" w:hAnsi="Arial" w:cs="Arial"/>
                      <w:b/>
                      <w:bCs/>
                    </w:rPr>
                  </w:pPr>
                </w:p>
              </w:tc>
              <w:tc>
                <w:tcPr>
                  <w:tcW w:w="4633" w:type="dxa"/>
                </w:tcPr>
                <w:p w14:paraId="4EEE533D" w14:textId="3772308F" w:rsidR="00B41D78" w:rsidRPr="009246FF" w:rsidRDefault="00B41D78" w:rsidP="00B41D78">
                  <w:pPr>
                    <w:jc w:val="both"/>
                    <w:rPr>
                      <w:rFonts w:ascii="Arial" w:hAnsi="Arial" w:cs="Arial"/>
                      <w:b/>
                    </w:rPr>
                  </w:pPr>
                  <w:r w:rsidRPr="009246FF">
                    <w:rPr>
                      <w:rFonts w:ascii="Arial" w:hAnsi="Arial" w:cs="Arial"/>
                    </w:rPr>
                    <w:t xml:space="preserve">Black-headed Gull </w:t>
                  </w:r>
                  <w:proofErr w:type="spellStart"/>
                  <w:r w:rsidRPr="009246FF">
                    <w:rPr>
                      <w:rFonts w:ascii="Arial" w:hAnsi="Arial" w:cs="Arial"/>
                      <w:i/>
                      <w:iCs/>
                    </w:rPr>
                    <w:t>Chroicocephalus</w:t>
                  </w:r>
                  <w:proofErr w:type="spellEnd"/>
                  <w:r w:rsidRPr="009246FF">
                    <w:rPr>
                      <w:rFonts w:ascii="Arial" w:hAnsi="Arial" w:cs="Arial"/>
                      <w:i/>
                      <w:iCs/>
                    </w:rPr>
                    <w:t xml:space="preserve"> ridibundus</w:t>
                  </w:r>
                  <w:r w:rsidRPr="009246FF">
                    <w:rPr>
                      <w:rFonts w:ascii="Arial" w:hAnsi="Arial" w:cs="Arial"/>
                    </w:rPr>
                    <w:t xml:space="preserve"> (A179) </w:t>
                  </w:r>
                  <w:r w:rsidRPr="009246FF">
                    <w:rPr>
                      <w:rFonts w:ascii="Arial" w:hAnsi="Arial" w:cs="Arial"/>
                      <w:b/>
                    </w:rPr>
                    <w:t>M</w:t>
                  </w:r>
                </w:p>
              </w:tc>
              <w:tc>
                <w:tcPr>
                  <w:tcW w:w="1086" w:type="dxa"/>
                </w:tcPr>
                <w:p w14:paraId="7C535FD7" w14:textId="26A2EAD5" w:rsidR="00B41D78" w:rsidRPr="009246FF" w:rsidRDefault="00B41D78" w:rsidP="00B41D78">
                  <w:pPr>
                    <w:jc w:val="both"/>
                    <w:rPr>
                      <w:rFonts w:ascii="Arial" w:hAnsi="Arial" w:cs="Arial"/>
                      <w:lang w:val="en-US"/>
                    </w:rPr>
                  </w:pPr>
                  <w:r w:rsidRPr="009246FF">
                    <w:rPr>
                      <w:rFonts w:ascii="Arial" w:hAnsi="Arial" w:cs="Arial"/>
                      <w:lang w:val="en-US"/>
                    </w:rPr>
                    <w:t>Y</w:t>
                  </w:r>
                </w:p>
                <w:p w14:paraId="27FC3676" w14:textId="41C56C38" w:rsidR="00B41D78" w:rsidRPr="009246FF" w:rsidRDefault="00B41D78" w:rsidP="00B41D78">
                  <w:pPr>
                    <w:jc w:val="both"/>
                    <w:rPr>
                      <w:rFonts w:ascii="Arial" w:hAnsi="Arial" w:cs="Arial"/>
                      <w:lang w:val="en-US"/>
                    </w:rPr>
                  </w:pPr>
                </w:p>
              </w:tc>
              <w:tc>
                <w:tcPr>
                  <w:tcW w:w="919" w:type="dxa"/>
                </w:tcPr>
                <w:p w14:paraId="11C2048B" w14:textId="161BE9AC" w:rsidR="00B41D78" w:rsidRPr="009246FF" w:rsidRDefault="00B41D78" w:rsidP="00B41D78">
                  <w:pPr>
                    <w:jc w:val="both"/>
                    <w:rPr>
                      <w:rFonts w:ascii="Arial" w:hAnsi="Arial" w:cs="Arial"/>
                      <w:lang w:val="en-US"/>
                    </w:rPr>
                  </w:pPr>
                  <w:r w:rsidRPr="009246FF">
                    <w:rPr>
                      <w:rFonts w:ascii="Arial" w:hAnsi="Arial" w:cs="Arial"/>
                      <w:lang w:val="en-US"/>
                    </w:rPr>
                    <w:t>N</w:t>
                  </w:r>
                </w:p>
              </w:tc>
              <w:tc>
                <w:tcPr>
                  <w:tcW w:w="996" w:type="dxa"/>
                </w:tcPr>
                <w:p w14:paraId="5B34FA66" w14:textId="0FF3DA02" w:rsidR="00B41D78" w:rsidRPr="009246FF" w:rsidRDefault="00B41D78" w:rsidP="00B41D78">
                  <w:pPr>
                    <w:jc w:val="both"/>
                    <w:rPr>
                      <w:rFonts w:ascii="Arial" w:hAnsi="Arial" w:cs="Arial"/>
                      <w:lang w:val="en-US"/>
                    </w:rPr>
                  </w:pPr>
                  <w:r w:rsidRPr="009246FF">
                    <w:rPr>
                      <w:rFonts w:ascii="Arial" w:hAnsi="Arial" w:cs="Arial"/>
                      <w:lang w:val="en-US"/>
                    </w:rPr>
                    <w:t>N</w:t>
                  </w:r>
                </w:p>
              </w:tc>
            </w:tr>
            <w:tr w:rsidR="00B41D78" w:rsidRPr="009246FF" w14:paraId="69627D98" w14:textId="77777777" w:rsidTr="00B41D78">
              <w:trPr>
                <w:trHeight w:val="97"/>
              </w:trPr>
              <w:tc>
                <w:tcPr>
                  <w:tcW w:w="1207" w:type="dxa"/>
                  <w:vMerge/>
                </w:tcPr>
                <w:p w14:paraId="09AD0045" w14:textId="77777777" w:rsidR="00B41D78" w:rsidRPr="009246FF" w:rsidRDefault="00B41D78" w:rsidP="0030658E">
                  <w:pPr>
                    <w:pStyle w:val="NoSpacing"/>
                    <w:rPr>
                      <w:rFonts w:ascii="Arial" w:hAnsi="Arial" w:cs="Arial"/>
                      <w:b/>
                      <w:bCs/>
                    </w:rPr>
                  </w:pPr>
                </w:p>
              </w:tc>
              <w:tc>
                <w:tcPr>
                  <w:tcW w:w="4633" w:type="dxa"/>
                </w:tcPr>
                <w:p w14:paraId="4CF00419" w14:textId="77777777" w:rsidR="00B41D78" w:rsidRPr="009246FF" w:rsidRDefault="00B41D78" w:rsidP="00B41D78">
                  <w:pPr>
                    <w:jc w:val="both"/>
                    <w:rPr>
                      <w:rFonts w:ascii="Arial" w:hAnsi="Arial" w:cs="Arial"/>
                    </w:rPr>
                  </w:pPr>
                  <w:r w:rsidRPr="009246FF">
                    <w:rPr>
                      <w:rFonts w:ascii="Arial" w:hAnsi="Arial" w:cs="Arial"/>
                      <w:color w:val="000000"/>
                      <w:shd w:val="clear" w:color="auto" w:fill="FFFFFF"/>
                    </w:rPr>
                    <w:t xml:space="preserve">Wetland and Waterbirds [A999] </w:t>
                  </w:r>
                  <w:r w:rsidRPr="009246FF">
                    <w:rPr>
                      <w:rFonts w:ascii="Arial" w:hAnsi="Arial" w:cs="Arial"/>
                      <w:b/>
                      <w:bCs/>
                      <w:color w:val="000000"/>
                      <w:shd w:val="clear" w:color="auto" w:fill="FFFFFF"/>
                    </w:rPr>
                    <w:t>M</w:t>
                  </w:r>
                </w:p>
              </w:tc>
              <w:tc>
                <w:tcPr>
                  <w:tcW w:w="1086" w:type="dxa"/>
                </w:tcPr>
                <w:p w14:paraId="2EDA134B" w14:textId="77777777" w:rsidR="00B41D78" w:rsidRPr="009246FF" w:rsidRDefault="00B41D78" w:rsidP="00B41D78">
                  <w:pPr>
                    <w:jc w:val="both"/>
                    <w:rPr>
                      <w:rFonts w:ascii="Arial" w:hAnsi="Arial" w:cs="Arial"/>
                      <w:lang w:val="en-US"/>
                    </w:rPr>
                  </w:pPr>
                  <w:r w:rsidRPr="009246FF">
                    <w:rPr>
                      <w:rFonts w:ascii="Arial" w:hAnsi="Arial" w:cs="Arial"/>
                      <w:lang w:val="en-US"/>
                    </w:rPr>
                    <w:t>Y</w:t>
                  </w:r>
                </w:p>
              </w:tc>
              <w:tc>
                <w:tcPr>
                  <w:tcW w:w="919" w:type="dxa"/>
                </w:tcPr>
                <w:p w14:paraId="7F22E069" w14:textId="77777777" w:rsidR="00B41D78" w:rsidRPr="009246FF" w:rsidRDefault="00B41D78" w:rsidP="00B41D78">
                  <w:pPr>
                    <w:jc w:val="both"/>
                    <w:rPr>
                      <w:rFonts w:ascii="Arial" w:hAnsi="Arial" w:cs="Arial"/>
                      <w:lang w:val="en-US"/>
                    </w:rPr>
                  </w:pPr>
                  <w:r w:rsidRPr="009246FF">
                    <w:rPr>
                      <w:rFonts w:ascii="Arial" w:hAnsi="Arial" w:cs="Arial"/>
                      <w:lang w:val="en-US"/>
                    </w:rPr>
                    <w:t>N</w:t>
                  </w:r>
                </w:p>
              </w:tc>
              <w:tc>
                <w:tcPr>
                  <w:tcW w:w="996" w:type="dxa"/>
                </w:tcPr>
                <w:p w14:paraId="780816E0" w14:textId="77777777" w:rsidR="00B41D78" w:rsidRPr="009246FF" w:rsidRDefault="00B41D78" w:rsidP="00B41D78">
                  <w:pPr>
                    <w:jc w:val="both"/>
                    <w:rPr>
                      <w:rFonts w:ascii="Arial" w:hAnsi="Arial" w:cs="Arial"/>
                      <w:lang w:val="en-US"/>
                    </w:rPr>
                  </w:pPr>
                  <w:r w:rsidRPr="009246FF">
                    <w:rPr>
                      <w:rFonts w:ascii="Arial" w:hAnsi="Arial" w:cs="Arial"/>
                      <w:lang w:val="en-US"/>
                    </w:rPr>
                    <w:t>N</w:t>
                  </w:r>
                </w:p>
              </w:tc>
            </w:tr>
          </w:tbl>
          <w:p w14:paraId="455B8C9C" w14:textId="77777777" w:rsidR="009D3286" w:rsidRPr="009246FF" w:rsidRDefault="009D3286" w:rsidP="00424F6E">
            <w:pPr>
              <w:jc w:val="both"/>
              <w:rPr>
                <w:rFonts w:ascii="Arial" w:hAnsi="Arial" w:cs="Arial"/>
                <w:lang w:val="en-US"/>
              </w:rPr>
            </w:pPr>
          </w:p>
          <w:tbl>
            <w:tblPr>
              <w:tblStyle w:val="TableGrid"/>
              <w:tblW w:w="0" w:type="auto"/>
              <w:tblLook w:val="04A0" w:firstRow="1" w:lastRow="0" w:firstColumn="1" w:lastColumn="0" w:noHBand="0" w:noVBand="1"/>
            </w:tblPr>
            <w:tblGrid>
              <w:gridCol w:w="1446"/>
              <w:gridCol w:w="4536"/>
              <w:gridCol w:w="874"/>
              <w:gridCol w:w="851"/>
              <w:gridCol w:w="1107"/>
            </w:tblGrid>
            <w:tr w:rsidR="009D3286" w:rsidRPr="009246FF" w14:paraId="02C2BA1D" w14:textId="77777777" w:rsidTr="001E798B">
              <w:trPr>
                <w:cantSplit/>
                <w:trHeight w:val="796"/>
              </w:trPr>
              <w:tc>
                <w:tcPr>
                  <w:tcW w:w="1446" w:type="dxa"/>
                  <w:vMerge w:val="restart"/>
                  <w:shd w:val="clear" w:color="auto" w:fill="D9D9D9" w:themeFill="background1" w:themeFillShade="D9"/>
                  <w:vAlign w:val="center"/>
                </w:tcPr>
                <w:p w14:paraId="015E0F0D" w14:textId="77777777" w:rsidR="009D3286" w:rsidRPr="009246FF" w:rsidRDefault="009D3286" w:rsidP="009D3286">
                  <w:pPr>
                    <w:jc w:val="both"/>
                    <w:rPr>
                      <w:rFonts w:ascii="Arial" w:hAnsi="Arial" w:cs="Arial"/>
                      <w:b/>
                      <w:bCs/>
                      <w:lang w:val="en-US"/>
                    </w:rPr>
                  </w:pPr>
                  <w:r w:rsidRPr="009246FF">
                    <w:rPr>
                      <w:rFonts w:ascii="Arial" w:hAnsi="Arial" w:cs="Arial"/>
                      <w:b/>
                      <w:bCs/>
                      <w:lang w:val="en-US"/>
                    </w:rPr>
                    <w:t xml:space="preserve">European Site and </w:t>
                  </w:r>
                  <w:r w:rsidRPr="009246FF">
                    <w:rPr>
                      <w:rFonts w:ascii="Arial" w:hAnsi="Arial" w:cs="Arial"/>
                      <w:b/>
                      <w:bCs/>
                      <w:lang w:val="en-US"/>
                    </w:rPr>
                    <w:lastRenderedPageBreak/>
                    <w:t>qualifying feature</w:t>
                  </w:r>
                </w:p>
              </w:tc>
              <w:tc>
                <w:tcPr>
                  <w:tcW w:w="4536" w:type="dxa"/>
                  <w:vMerge w:val="restart"/>
                  <w:shd w:val="clear" w:color="auto" w:fill="D9D9D9" w:themeFill="background1" w:themeFillShade="D9"/>
                  <w:vAlign w:val="center"/>
                </w:tcPr>
                <w:p w14:paraId="10741231" w14:textId="77777777" w:rsidR="009D3286" w:rsidRPr="009246FF" w:rsidRDefault="009D3286" w:rsidP="009D3286">
                  <w:pPr>
                    <w:pStyle w:val="NoSpacing"/>
                    <w:rPr>
                      <w:rFonts w:ascii="Arial" w:hAnsi="Arial" w:cs="Arial"/>
                      <w:b/>
                      <w:bCs/>
                    </w:rPr>
                  </w:pPr>
                  <w:r w:rsidRPr="009246FF">
                    <w:rPr>
                      <w:rFonts w:ascii="Arial" w:hAnsi="Arial" w:cs="Arial"/>
                      <w:b/>
                      <w:bCs/>
                    </w:rPr>
                    <w:lastRenderedPageBreak/>
                    <w:t>Conservation objectives:</w:t>
                  </w:r>
                </w:p>
                <w:p w14:paraId="5E7208AC" w14:textId="77777777" w:rsidR="002B62B8" w:rsidRPr="009246FF" w:rsidRDefault="002B62B8" w:rsidP="009D3286">
                  <w:pPr>
                    <w:pStyle w:val="NoSpacing"/>
                    <w:rPr>
                      <w:rFonts w:ascii="Arial" w:hAnsi="Arial" w:cs="Arial"/>
                      <w:b/>
                      <w:bCs/>
                    </w:rPr>
                  </w:pPr>
                </w:p>
                <w:p w14:paraId="680F3F16" w14:textId="77777777" w:rsidR="002B62B8" w:rsidRPr="009246FF" w:rsidRDefault="002B62B8" w:rsidP="009D3286">
                  <w:pPr>
                    <w:pStyle w:val="NoSpacing"/>
                    <w:rPr>
                      <w:rFonts w:ascii="Arial" w:hAnsi="Arial" w:cs="Arial"/>
                      <w:b/>
                      <w:bCs/>
                    </w:rPr>
                  </w:pPr>
                </w:p>
                <w:p w14:paraId="68663731" w14:textId="77777777" w:rsidR="002B62B8" w:rsidRPr="009246FF" w:rsidRDefault="002B62B8" w:rsidP="002B62B8">
                  <w:pPr>
                    <w:pStyle w:val="NoSpacing"/>
                    <w:rPr>
                      <w:rFonts w:ascii="Arial" w:hAnsi="Arial" w:cs="Arial"/>
                      <w:b/>
                      <w:bCs/>
                    </w:rPr>
                  </w:pPr>
                  <w:r w:rsidRPr="009246FF">
                    <w:rPr>
                      <w:rFonts w:ascii="Arial" w:hAnsi="Arial" w:cs="Arial"/>
                      <w:b/>
                      <w:bCs/>
                    </w:rPr>
                    <w:lastRenderedPageBreak/>
                    <w:t>Conservation objectives:</w:t>
                  </w:r>
                </w:p>
                <w:p w14:paraId="34604FAB" w14:textId="77777777" w:rsidR="002B62B8" w:rsidRPr="009246FF" w:rsidRDefault="002B62B8" w:rsidP="002B62B8">
                  <w:pPr>
                    <w:pStyle w:val="NoSpacing"/>
                    <w:jc w:val="both"/>
                    <w:rPr>
                      <w:rFonts w:ascii="Arial" w:hAnsi="Arial" w:cs="Arial"/>
                      <w:b/>
                      <w:bCs/>
                    </w:rPr>
                  </w:pPr>
                  <w:r w:rsidRPr="009246FF">
                    <w:rPr>
                      <w:rFonts w:ascii="Arial" w:hAnsi="Arial" w:cs="Arial"/>
                    </w:rPr>
                    <w:t xml:space="preserve">To maintain favourable conservation condition </w:t>
                  </w:r>
                  <w:r w:rsidRPr="009246FF">
                    <w:rPr>
                      <w:rFonts w:ascii="Arial" w:hAnsi="Arial" w:cs="Arial"/>
                      <w:b/>
                      <w:bCs/>
                    </w:rPr>
                    <w:t xml:space="preserve">M </w:t>
                  </w:r>
                </w:p>
                <w:p w14:paraId="5F32B694" w14:textId="77777777" w:rsidR="0090470C" w:rsidRPr="009246FF" w:rsidRDefault="002B62B8" w:rsidP="002B62B8">
                  <w:pPr>
                    <w:jc w:val="both"/>
                    <w:rPr>
                      <w:rFonts w:ascii="Arial" w:hAnsi="Arial" w:cs="Arial"/>
                    </w:rPr>
                  </w:pPr>
                  <w:r w:rsidRPr="009246FF">
                    <w:rPr>
                      <w:rFonts w:ascii="Arial" w:hAnsi="Arial" w:cs="Arial"/>
                    </w:rPr>
                    <w:t>To restore favourable conservation</w:t>
                  </w:r>
                </w:p>
                <w:p w14:paraId="1770980E" w14:textId="1BE75188" w:rsidR="008E0A0B" w:rsidRPr="009246FF" w:rsidRDefault="00000000" w:rsidP="002B62B8">
                  <w:pPr>
                    <w:jc w:val="both"/>
                    <w:rPr>
                      <w:rFonts w:ascii="Arial" w:hAnsi="Arial" w:cs="Arial"/>
                    </w:rPr>
                  </w:pPr>
                  <w:hyperlink r:id="rId21" w:history="1">
                    <w:proofErr w:type="spellStart"/>
                    <w:r w:rsidR="008E0A0B" w:rsidRPr="009246FF">
                      <w:rPr>
                        <w:rStyle w:val="Hyperlink"/>
                        <w:rFonts w:ascii="Arial" w:hAnsi="Arial" w:cs="Arial"/>
                      </w:rPr>
                      <w:t>Site_specific_cons_obj</w:t>
                    </w:r>
                    <w:proofErr w:type="spellEnd"/>
                    <w:r w:rsidR="008E0A0B" w:rsidRPr="009246FF">
                      <w:rPr>
                        <w:rStyle w:val="Hyperlink"/>
                        <w:rFonts w:ascii="Arial" w:hAnsi="Arial" w:cs="Arial"/>
                      </w:rPr>
                      <w:t xml:space="preserve"> (npws.ie)</w:t>
                    </w:r>
                  </w:hyperlink>
                </w:p>
                <w:p w14:paraId="379339E9" w14:textId="73D3E4C0" w:rsidR="00155E70" w:rsidRPr="009246FF" w:rsidRDefault="00155E70" w:rsidP="00155E70">
                  <w:pPr>
                    <w:jc w:val="both"/>
                    <w:rPr>
                      <w:rFonts w:ascii="Arial" w:hAnsi="Arial" w:cs="Arial"/>
                    </w:rPr>
                  </w:pPr>
                </w:p>
                <w:p w14:paraId="2A4FEBCE" w14:textId="04DFACBA" w:rsidR="00155E70" w:rsidRPr="009246FF" w:rsidRDefault="00155E70" w:rsidP="002B62B8">
                  <w:pPr>
                    <w:jc w:val="both"/>
                    <w:rPr>
                      <w:rFonts w:ascii="Arial" w:hAnsi="Arial" w:cs="Arial"/>
                      <w:b/>
                      <w:bCs/>
                      <w:lang w:val="en-US"/>
                    </w:rPr>
                  </w:pPr>
                </w:p>
              </w:tc>
              <w:tc>
                <w:tcPr>
                  <w:tcW w:w="2832" w:type="dxa"/>
                  <w:gridSpan w:val="3"/>
                  <w:shd w:val="clear" w:color="auto" w:fill="D9D9D9" w:themeFill="background1" w:themeFillShade="D9"/>
                </w:tcPr>
                <w:p w14:paraId="571604CB" w14:textId="77777777" w:rsidR="009D3286" w:rsidRPr="009246FF" w:rsidRDefault="009D3286" w:rsidP="009D3286">
                  <w:pPr>
                    <w:jc w:val="both"/>
                    <w:rPr>
                      <w:rFonts w:ascii="Arial" w:hAnsi="Arial" w:cs="Arial"/>
                      <w:b/>
                      <w:bCs/>
                      <w:lang w:val="en-US"/>
                    </w:rPr>
                  </w:pPr>
                  <w:r w:rsidRPr="009246FF">
                    <w:rPr>
                      <w:rFonts w:ascii="Arial" w:hAnsi="Arial" w:cs="Arial"/>
                      <w:b/>
                      <w:bCs/>
                      <w:lang w:val="en-US"/>
                    </w:rPr>
                    <w:lastRenderedPageBreak/>
                    <w:t>Could the conservation objectives be undermined (Y/N)?</w:t>
                  </w:r>
                </w:p>
              </w:tc>
            </w:tr>
            <w:tr w:rsidR="009D3286" w:rsidRPr="009246FF" w14:paraId="2A03BA8D" w14:textId="77777777" w:rsidTr="001E798B">
              <w:trPr>
                <w:cantSplit/>
                <w:trHeight w:val="1962"/>
              </w:trPr>
              <w:tc>
                <w:tcPr>
                  <w:tcW w:w="1446" w:type="dxa"/>
                  <w:vMerge/>
                  <w:shd w:val="clear" w:color="auto" w:fill="D9D9D9" w:themeFill="background1" w:themeFillShade="D9"/>
                  <w:vAlign w:val="center"/>
                </w:tcPr>
                <w:p w14:paraId="036AA043" w14:textId="77777777" w:rsidR="009D3286" w:rsidRPr="009246FF" w:rsidRDefault="009D3286" w:rsidP="009D3286">
                  <w:pPr>
                    <w:jc w:val="both"/>
                    <w:rPr>
                      <w:rFonts w:ascii="Arial" w:hAnsi="Arial" w:cs="Arial"/>
                      <w:b/>
                      <w:bCs/>
                      <w:lang w:val="en-US"/>
                    </w:rPr>
                  </w:pPr>
                </w:p>
              </w:tc>
              <w:tc>
                <w:tcPr>
                  <w:tcW w:w="4536" w:type="dxa"/>
                  <w:vMerge/>
                  <w:shd w:val="clear" w:color="auto" w:fill="D9D9D9" w:themeFill="background1" w:themeFillShade="D9"/>
                  <w:vAlign w:val="center"/>
                </w:tcPr>
                <w:p w14:paraId="2C92E6E3" w14:textId="77777777" w:rsidR="009D3286" w:rsidRPr="009246FF" w:rsidRDefault="009D3286" w:rsidP="009D3286">
                  <w:pPr>
                    <w:jc w:val="both"/>
                    <w:rPr>
                      <w:rFonts w:ascii="Arial" w:hAnsi="Arial" w:cs="Arial"/>
                      <w:b/>
                      <w:bCs/>
                      <w:lang w:val="en-US"/>
                    </w:rPr>
                  </w:pPr>
                </w:p>
              </w:tc>
              <w:tc>
                <w:tcPr>
                  <w:tcW w:w="874" w:type="dxa"/>
                  <w:shd w:val="clear" w:color="auto" w:fill="D9D9D9" w:themeFill="background1" w:themeFillShade="D9"/>
                  <w:textDirection w:val="btLr"/>
                </w:tcPr>
                <w:p w14:paraId="1AB053F2" w14:textId="1F1CF2DE" w:rsidR="009D3286" w:rsidRPr="009246FF" w:rsidRDefault="009D3286" w:rsidP="00757ABA">
                  <w:pPr>
                    <w:jc w:val="both"/>
                    <w:rPr>
                      <w:rFonts w:ascii="Arial" w:hAnsi="Arial" w:cs="Arial"/>
                      <w:b/>
                      <w:bCs/>
                      <w:lang w:val="en-US"/>
                    </w:rPr>
                  </w:pPr>
                  <w:r w:rsidRPr="009246FF">
                    <w:rPr>
                      <w:rFonts w:ascii="Arial" w:hAnsi="Arial" w:cs="Arial"/>
                      <w:b/>
                      <w:bCs/>
                      <w:lang w:val="en-US"/>
                    </w:rPr>
                    <w:t xml:space="preserve">Effect A – </w:t>
                  </w:r>
                  <w:r w:rsidR="00757ABA" w:rsidRPr="009246FF">
                    <w:rPr>
                      <w:rFonts w:ascii="Arial" w:hAnsi="Arial" w:cs="Arial"/>
                      <w:lang w:val="en-US"/>
                    </w:rPr>
                    <w:t xml:space="preserve">Noise and </w:t>
                  </w:r>
                  <w:proofErr w:type="gramStart"/>
                  <w:r w:rsidR="00757ABA" w:rsidRPr="009246FF">
                    <w:rPr>
                      <w:rFonts w:ascii="Arial" w:hAnsi="Arial" w:cs="Arial"/>
                      <w:lang w:val="en-US"/>
                    </w:rPr>
                    <w:t xml:space="preserve">Vibration </w:t>
                  </w:r>
                  <w:r w:rsidR="000670C0" w:rsidRPr="009246FF">
                    <w:rPr>
                      <w:rFonts w:ascii="Arial" w:hAnsi="Arial" w:cs="Arial"/>
                      <w:lang w:val="en-US"/>
                    </w:rPr>
                    <w:t xml:space="preserve"> </w:t>
                  </w:r>
                  <w:r w:rsidR="0051499C" w:rsidRPr="009246FF">
                    <w:rPr>
                      <w:rFonts w:ascii="Arial" w:hAnsi="Arial" w:cs="Arial"/>
                      <w:lang w:val="en-US"/>
                    </w:rPr>
                    <w:t>Disturbance</w:t>
                  </w:r>
                  <w:proofErr w:type="gramEnd"/>
                </w:p>
              </w:tc>
              <w:tc>
                <w:tcPr>
                  <w:tcW w:w="851" w:type="dxa"/>
                  <w:shd w:val="clear" w:color="auto" w:fill="D9D9D9" w:themeFill="background1" w:themeFillShade="D9"/>
                  <w:textDirection w:val="btLr"/>
                </w:tcPr>
                <w:p w14:paraId="79912C10" w14:textId="41DF7DEC" w:rsidR="009D3286" w:rsidRPr="009246FF" w:rsidRDefault="009D3286" w:rsidP="009D3286">
                  <w:pPr>
                    <w:ind w:left="113" w:right="113"/>
                    <w:jc w:val="both"/>
                    <w:rPr>
                      <w:rFonts w:ascii="Arial" w:hAnsi="Arial" w:cs="Arial"/>
                      <w:b/>
                      <w:bCs/>
                      <w:lang w:val="en-US"/>
                    </w:rPr>
                  </w:pPr>
                  <w:r w:rsidRPr="009246FF">
                    <w:rPr>
                      <w:rFonts w:ascii="Arial" w:hAnsi="Arial" w:cs="Arial"/>
                      <w:b/>
                      <w:bCs/>
                      <w:lang w:val="en-US"/>
                    </w:rPr>
                    <w:t>Effect B – Surface Water R</w:t>
                  </w:r>
                  <w:r w:rsidR="0051499C" w:rsidRPr="009246FF">
                    <w:rPr>
                      <w:rFonts w:ascii="Arial" w:hAnsi="Arial" w:cs="Arial"/>
                      <w:b/>
                      <w:bCs/>
                      <w:lang w:val="en-US"/>
                    </w:rPr>
                    <w:t>un-off</w:t>
                  </w:r>
                </w:p>
              </w:tc>
              <w:tc>
                <w:tcPr>
                  <w:tcW w:w="1107" w:type="dxa"/>
                  <w:shd w:val="clear" w:color="auto" w:fill="D9D9D9" w:themeFill="background1" w:themeFillShade="D9"/>
                  <w:textDirection w:val="btLr"/>
                </w:tcPr>
                <w:p w14:paraId="51544C66" w14:textId="5DC3B362" w:rsidR="009D3286" w:rsidRPr="009246FF" w:rsidRDefault="009D3286" w:rsidP="009D3286">
                  <w:pPr>
                    <w:ind w:left="113" w:right="113"/>
                    <w:jc w:val="both"/>
                    <w:rPr>
                      <w:rFonts w:ascii="Arial" w:hAnsi="Arial" w:cs="Arial"/>
                      <w:b/>
                      <w:bCs/>
                      <w:lang w:val="en-US"/>
                    </w:rPr>
                  </w:pPr>
                  <w:r w:rsidRPr="009246FF">
                    <w:rPr>
                      <w:rFonts w:ascii="Arial" w:hAnsi="Arial" w:cs="Arial"/>
                      <w:b/>
                      <w:bCs/>
                      <w:lang w:val="en-US"/>
                    </w:rPr>
                    <w:t xml:space="preserve">Effect C </w:t>
                  </w:r>
                  <w:proofErr w:type="gramStart"/>
                  <w:r w:rsidRPr="009246FF">
                    <w:rPr>
                      <w:rFonts w:ascii="Arial" w:hAnsi="Arial" w:cs="Arial"/>
                      <w:b/>
                      <w:bCs/>
                      <w:lang w:val="en-US"/>
                    </w:rPr>
                    <w:t xml:space="preserve">– </w:t>
                  </w:r>
                  <w:r w:rsidR="00F61C83" w:rsidRPr="009246FF">
                    <w:rPr>
                      <w:rFonts w:ascii="Arial" w:hAnsi="Arial" w:cs="Arial"/>
                      <w:b/>
                      <w:bCs/>
                      <w:lang w:val="en-US"/>
                    </w:rPr>
                    <w:t xml:space="preserve"> Wastewater</w:t>
                  </w:r>
                  <w:proofErr w:type="gramEnd"/>
                  <w:r w:rsidR="00F61C83" w:rsidRPr="009246FF">
                    <w:rPr>
                      <w:rFonts w:ascii="Arial" w:hAnsi="Arial" w:cs="Arial"/>
                      <w:b/>
                      <w:bCs/>
                      <w:lang w:val="en-US"/>
                    </w:rPr>
                    <w:t xml:space="preserve"> during o</w:t>
                  </w:r>
                  <w:r w:rsidR="0051499C" w:rsidRPr="009246FF">
                    <w:rPr>
                      <w:rFonts w:ascii="Arial" w:hAnsi="Arial" w:cs="Arial"/>
                      <w:b/>
                      <w:bCs/>
                      <w:lang w:val="en-US"/>
                    </w:rPr>
                    <w:t>peration</w:t>
                  </w:r>
                </w:p>
              </w:tc>
            </w:tr>
            <w:tr w:rsidR="00AB462E" w:rsidRPr="009246FF" w14:paraId="1557DE85" w14:textId="77777777" w:rsidTr="0051499C">
              <w:trPr>
                <w:trHeight w:val="442"/>
              </w:trPr>
              <w:tc>
                <w:tcPr>
                  <w:tcW w:w="1446" w:type="dxa"/>
                  <w:vMerge w:val="restart"/>
                </w:tcPr>
                <w:p w14:paraId="009B8205" w14:textId="3FA3B2FC" w:rsidR="00AB462E" w:rsidRPr="009246FF" w:rsidRDefault="00AB462E" w:rsidP="001B5159">
                  <w:pPr>
                    <w:pStyle w:val="NoSpacing"/>
                    <w:rPr>
                      <w:rFonts w:ascii="Arial" w:hAnsi="Arial" w:cs="Arial"/>
                    </w:rPr>
                  </w:pPr>
                  <w:r w:rsidRPr="009246FF">
                    <w:rPr>
                      <w:rFonts w:ascii="Arial" w:hAnsi="Arial" w:cs="Arial"/>
                      <w:b/>
                      <w:bCs/>
                    </w:rPr>
                    <w:t>Lower River Shannon SAC (002165) – Located Directly Adjacent to Site</w:t>
                  </w:r>
                </w:p>
              </w:tc>
              <w:tc>
                <w:tcPr>
                  <w:tcW w:w="4536" w:type="dxa"/>
                </w:tcPr>
                <w:p w14:paraId="102674DE" w14:textId="4128204C" w:rsidR="00AB462E" w:rsidRPr="009246FF" w:rsidRDefault="00AB462E" w:rsidP="0035308F">
                  <w:pPr>
                    <w:jc w:val="both"/>
                    <w:rPr>
                      <w:rFonts w:ascii="Arial" w:hAnsi="Arial" w:cs="Arial"/>
                      <w:b/>
                      <w:bCs/>
                    </w:rPr>
                  </w:pPr>
                  <w:r w:rsidRPr="009246FF">
                    <w:rPr>
                      <w:rFonts w:ascii="Arial" w:hAnsi="Arial" w:cs="Arial"/>
                    </w:rPr>
                    <w:t>Sandbanks slightly covered by seawater all the time (1110)</w:t>
                  </w:r>
                  <w:r w:rsidRPr="009246FF">
                    <w:rPr>
                      <w:rFonts w:ascii="Arial" w:hAnsi="Arial" w:cs="Arial"/>
                      <w:b/>
                      <w:bCs/>
                    </w:rPr>
                    <w:t xml:space="preserve"> M</w:t>
                  </w:r>
                </w:p>
              </w:tc>
              <w:tc>
                <w:tcPr>
                  <w:tcW w:w="874" w:type="dxa"/>
                </w:tcPr>
                <w:p w14:paraId="112A71F8" w14:textId="20942DB2" w:rsidR="00AB462E" w:rsidRPr="009246FF" w:rsidRDefault="00AB462E" w:rsidP="0035308F">
                  <w:pPr>
                    <w:jc w:val="both"/>
                    <w:rPr>
                      <w:rFonts w:ascii="Arial" w:hAnsi="Arial" w:cs="Arial"/>
                      <w:lang w:val="en-US"/>
                    </w:rPr>
                  </w:pPr>
                  <w:r w:rsidRPr="009246FF">
                    <w:rPr>
                      <w:rFonts w:ascii="Arial" w:hAnsi="Arial" w:cs="Arial"/>
                      <w:lang w:val="en-US"/>
                    </w:rPr>
                    <w:t>N</w:t>
                  </w:r>
                </w:p>
              </w:tc>
              <w:tc>
                <w:tcPr>
                  <w:tcW w:w="851" w:type="dxa"/>
                </w:tcPr>
                <w:p w14:paraId="22866F4C" w14:textId="066EC4E0" w:rsidR="00AB462E" w:rsidRPr="009246FF" w:rsidRDefault="00AB462E" w:rsidP="0035308F">
                  <w:pPr>
                    <w:jc w:val="both"/>
                    <w:rPr>
                      <w:rFonts w:ascii="Arial" w:hAnsi="Arial" w:cs="Arial"/>
                      <w:lang w:val="en-US"/>
                    </w:rPr>
                  </w:pPr>
                  <w:r w:rsidRPr="009246FF">
                    <w:rPr>
                      <w:rFonts w:ascii="Arial" w:hAnsi="Arial" w:cs="Arial"/>
                      <w:lang w:val="en-US"/>
                    </w:rPr>
                    <w:t>N</w:t>
                  </w:r>
                </w:p>
                <w:p w14:paraId="6CAC4D24" w14:textId="4EF67911" w:rsidR="00AB462E" w:rsidRPr="009246FF" w:rsidRDefault="00AB462E" w:rsidP="0035308F">
                  <w:pPr>
                    <w:jc w:val="both"/>
                    <w:rPr>
                      <w:rFonts w:ascii="Arial" w:hAnsi="Arial" w:cs="Arial"/>
                      <w:lang w:val="en-US"/>
                    </w:rPr>
                  </w:pPr>
                </w:p>
              </w:tc>
              <w:tc>
                <w:tcPr>
                  <w:tcW w:w="1107" w:type="dxa"/>
                </w:tcPr>
                <w:p w14:paraId="6189BE3C" w14:textId="63967519" w:rsidR="00AB462E" w:rsidRPr="009246FF" w:rsidRDefault="00AB462E" w:rsidP="0035308F">
                  <w:pPr>
                    <w:jc w:val="both"/>
                    <w:rPr>
                      <w:rFonts w:ascii="Arial" w:hAnsi="Arial" w:cs="Arial"/>
                      <w:lang w:val="en-US"/>
                    </w:rPr>
                  </w:pPr>
                  <w:r w:rsidRPr="009246FF">
                    <w:rPr>
                      <w:rFonts w:ascii="Arial" w:hAnsi="Arial" w:cs="Arial"/>
                      <w:lang w:val="en-US"/>
                    </w:rPr>
                    <w:t>N</w:t>
                  </w:r>
                </w:p>
                <w:p w14:paraId="0803D039" w14:textId="608F6B59" w:rsidR="00AB462E" w:rsidRPr="009246FF" w:rsidRDefault="00AB462E" w:rsidP="0035308F">
                  <w:pPr>
                    <w:jc w:val="both"/>
                    <w:rPr>
                      <w:rFonts w:ascii="Arial" w:hAnsi="Arial" w:cs="Arial"/>
                      <w:lang w:val="en-US"/>
                    </w:rPr>
                  </w:pPr>
                </w:p>
              </w:tc>
            </w:tr>
            <w:tr w:rsidR="00AB462E" w:rsidRPr="009246FF" w14:paraId="1E2530D1" w14:textId="77777777" w:rsidTr="0051499C">
              <w:trPr>
                <w:trHeight w:val="271"/>
              </w:trPr>
              <w:tc>
                <w:tcPr>
                  <w:tcW w:w="1446" w:type="dxa"/>
                  <w:vMerge/>
                </w:tcPr>
                <w:p w14:paraId="7DFE65E5" w14:textId="77777777" w:rsidR="00AB462E" w:rsidRPr="009246FF" w:rsidRDefault="00AB462E" w:rsidP="001B5159">
                  <w:pPr>
                    <w:pStyle w:val="NoSpacing"/>
                    <w:rPr>
                      <w:rFonts w:ascii="Arial" w:hAnsi="Arial" w:cs="Arial"/>
                      <w:b/>
                      <w:bCs/>
                    </w:rPr>
                  </w:pPr>
                </w:p>
              </w:tc>
              <w:tc>
                <w:tcPr>
                  <w:tcW w:w="4536" w:type="dxa"/>
                </w:tcPr>
                <w:p w14:paraId="2397FA87" w14:textId="084D27C0" w:rsidR="00AB462E" w:rsidRPr="009246FF" w:rsidRDefault="00AB462E" w:rsidP="0035308F">
                  <w:pPr>
                    <w:jc w:val="both"/>
                    <w:rPr>
                      <w:rFonts w:ascii="Arial" w:hAnsi="Arial" w:cs="Arial"/>
                      <w:b/>
                      <w:bCs/>
                    </w:rPr>
                  </w:pPr>
                  <w:r w:rsidRPr="009246FF">
                    <w:rPr>
                      <w:rFonts w:ascii="Arial" w:hAnsi="Arial" w:cs="Arial"/>
                    </w:rPr>
                    <w:t>Estuaries (1130</w:t>
                  </w:r>
                  <w:r w:rsidRPr="009246FF">
                    <w:rPr>
                      <w:rFonts w:ascii="Arial" w:hAnsi="Arial" w:cs="Arial"/>
                      <w:b/>
                      <w:bCs/>
                    </w:rPr>
                    <w:t>) M</w:t>
                  </w:r>
                </w:p>
              </w:tc>
              <w:tc>
                <w:tcPr>
                  <w:tcW w:w="874" w:type="dxa"/>
                </w:tcPr>
                <w:p w14:paraId="1872DC18" w14:textId="49E35C11" w:rsidR="00AB462E" w:rsidRPr="009246FF" w:rsidRDefault="00AB462E" w:rsidP="0035308F">
                  <w:pPr>
                    <w:jc w:val="both"/>
                    <w:rPr>
                      <w:rFonts w:ascii="Arial" w:hAnsi="Arial" w:cs="Arial"/>
                      <w:lang w:val="en-US"/>
                    </w:rPr>
                  </w:pPr>
                  <w:r w:rsidRPr="009246FF">
                    <w:rPr>
                      <w:rFonts w:ascii="Arial" w:hAnsi="Arial" w:cs="Arial"/>
                      <w:lang w:val="en-US"/>
                    </w:rPr>
                    <w:t>N</w:t>
                  </w:r>
                </w:p>
              </w:tc>
              <w:tc>
                <w:tcPr>
                  <w:tcW w:w="851" w:type="dxa"/>
                </w:tcPr>
                <w:p w14:paraId="09725066" w14:textId="44E454C6" w:rsidR="00AB462E" w:rsidRPr="009246FF" w:rsidRDefault="00AB462E" w:rsidP="0035308F">
                  <w:pPr>
                    <w:jc w:val="both"/>
                    <w:rPr>
                      <w:rFonts w:ascii="Arial" w:hAnsi="Arial" w:cs="Arial"/>
                      <w:lang w:val="en-US"/>
                    </w:rPr>
                  </w:pPr>
                  <w:r w:rsidRPr="009246FF">
                    <w:rPr>
                      <w:rFonts w:ascii="Arial" w:hAnsi="Arial" w:cs="Arial"/>
                      <w:lang w:val="en-US"/>
                    </w:rPr>
                    <w:t>N</w:t>
                  </w:r>
                </w:p>
              </w:tc>
              <w:tc>
                <w:tcPr>
                  <w:tcW w:w="1107" w:type="dxa"/>
                </w:tcPr>
                <w:p w14:paraId="01831E11" w14:textId="3016ABE4" w:rsidR="00AB462E" w:rsidRPr="009246FF" w:rsidRDefault="00AB462E" w:rsidP="0035308F">
                  <w:pPr>
                    <w:jc w:val="both"/>
                    <w:rPr>
                      <w:rFonts w:ascii="Arial" w:hAnsi="Arial" w:cs="Arial"/>
                      <w:lang w:val="en-US"/>
                    </w:rPr>
                  </w:pPr>
                  <w:r w:rsidRPr="009246FF">
                    <w:rPr>
                      <w:rFonts w:ascii="Arial" w:hAnsi="Arial" w:cs="Arial"/>
                      <w:lang w:val="en-US"/>
                    </w:rPr>
                    <w:t>N</w:t>
                  </w:r>
                </w:p>
              </w:tc>
            </w:tr>
            <w:tr w:rsidR="00AB462E" w:rsidRPr="009246FF" w14:paraId="5F5BCF13" w14:textId="77777777" w:rsidTr="0051499C">
              <w:trPr>
                <w:trHeight w:val="455"/>
              </w:trPr>
              <w:tc>
                <w:tcPr>
                  <w:tcW w:w="1446" w:type="dxa"/>
                  <w:vMerge/>
                </w:tcPr>
                <w:p w14:paraId="7EE0F2A8" w14:textId="77777777" w:rsidR="00AB462E" w:rsidRPr="009246FF" w:rsidRDefault="00AB462E" w:rsidP="001B5159">
                  <w:pPr>
                    <w:pStyle w:val="NoSpacing"/>
                    <w:rPr>
                      <w:rFonts w:ascii="Arial" w:hAnsi="Arial" w:cs="Arial"/>
                      <w:b/>
                      <w:bCs/>
                    </w:rPr>
                  </w:pPr>
                </w:p>
              </w:tc>
              <w:tc>
                <w:tcPr>
                  <w:tcW w:w="4536" w:type="dxa"/>
                </w:tcPr>
                <w:p w14:paraId="16CA14D7" w14:textId="040891E1" w:rsidR="00AB462E" w:rsidRPr="009246FF" w:rsidRDefault="00AB462E" w:rsidP="00AB462E">
                  <w:pPr>
                    <w:jc w:val="both"/>
                    <w:rPr>
                      <w:rFonts w:ascii="Arial" w:hAnsi="Arial" w:cs="Arial"/>
                      <w:b/>
                      <w:bCs/>
                    </w:rPr>
                  </w:pPr>
                  <w:r w:rsidRPr="009246FF">
                    <w:rPr>
                      <w:rFonts w:ascii="Arial" w:hAnsi="Arial" w:cs="Arial"/>
                    </w:rPr>
                    <w:t>Mudflats and sandflats not covered by seawater at low tide (1140)</w:t>
                  </w:r>
                  <w:r w:rsidRPr="009246FF">
                    <w:rPr>
                      <w:rFonts w:ascii="Arial" w:hAnsi="Arial" w:cs="Arial"/>
                      <w:b/>
                      <w:bCs/>
                    </w:rPr>
                    <w:t xml:space="preserve"> M</w:t>
                  </w:r>
                </w:p>
              </w:tc>
              <w:tc>
                <w:tcPr>
                  <w:tcW w:w="874" w:type="dxa"/>
                </w:tcPr>
                <w:p w14:paraId="618E2EAE" w14:textId="3911A568" w:rsidR="00AB462E" w:rsidRPr="009246FF" w:rsidRDefault="00AB462E" w:rsidP="00AB462E">
                  <w:pPr>
                    <w:jc w:val="both"/>
                    <w:rPr>
                      <w:rFonts w:ascii="Arial" w:hAnsi="Arial" w:cs="Arial"/>
                      <w:lang w:val="en-US"/>
                    </w:rPr>
                  </w:pPr>
                  <w:r w:rsidRPr="009246FF">
                    <w:rPr>
                      <w:rFonts w:ascii="Arial" w:hAnsi="Arial" w:cs="Arial"/>
                      <w:lang w:val="en-US"/>
                    </w:rPr>
                    <w:t>N</w:t>
                  </w:r>
                </w:p>
              </w:tc>
              <w:tc>
                <w:tcPr>
                  <w:tcW w:w="851" w:type="dxa"/>
                </w:tcPr>
                <w:p w14:paraId="37517DDF" w14:textId="4F4B207F" w:rsidR="00AB462E" w:rsidRPr="009246FF" w:rsidRDefault="00AB462E" w:rsidP="00AB462E">
                  <w:pPr>
                    <w:jc w:val="both"/>
                    <w:rPr>
                      <w:rFonts w:ascii="Arial" w:hAnsi="Arial" w:cs="Arial"/>
                      <w:lang w:val="en-US"/>
                    </w:rPr>
                  </w:pPr>
                  <w:r w:rsidRPr="009246FF">
                    <w:rPr>
                      <w:rFonts w:ascii="Arial" w:hAnsi="Arial" w:cs="Arial"/>
                      <w:lang w:val="en-US"/>
                    </w:rPr>
                    <w:t>N</w:t>
                  </w:r>
                </w:p>
                <w:p w14:paraId="26A1BA5B" w14:textId="2DB7BDB4" w:rsidR="00AB462E" w:rsidRPr="009246FF" w:rsidRDefault="00AB462E" w:rsidP="00AB462E">
                  <w:pPr>
                    <w:jc w:val="both"/>
                    <w:rPr>
                      <w:rFonts w:ascii="Arial" w:hAnsi="Arial" w:cs="Arial"/>
                      <w:lang w:val="en-US"/>
                    </w:rPr>
                  </w:pPr>
                </w:p>
              </w:tc>
              <w:tc>
                <w:tcPr>
                  <w:tcW w:w="1107" w:type="dxa"/>
                </w:tcPr>
                <w:p w14:paraId="2576F32D" w14:textId="031D89D4" w:rsidR="00AB462E" w:rsidRPr="009246FF" w:rsidRDefault="00AB462E" w:rsidP="00AB462E">
                  <w:pPr>
                    <w:jc w:val="both"/>
                    <w:rPr>
                      <w:rFonts w:ascii="Arial" w:hAnsi="Arial" w:cs="Arial"/>
                      <w:lang w:val="en-US"/>
                    </w:rPr>
                  </w:pPr>
                  <w:r w:rsidRPr="009246FF">
                    <w:rPr>
                      <w:rFonts w:ascii="Arial" w:hAnsi="Arial" w:cs="Arial"/>
                      <w:lang w:val="en-US"/>
                    </w:rPr>
                    <w:t>N</w:t>
                  </w:r>
                </w:p>
              </w:tc>
            </w:tr>
            <w:tr w:rsidR="00AB462E" w:rsidRPr="009246FF" w14:paraId="544D130D" w14:textId="77777777" w:rsidTr="0051499C">
              <w:trPr>
                <w:trHeight w:val="335"/>
              </w:trPr>
              <w:tc>
                <w:tcPr>
                  <w:tcW w:w="1446" w:type="dxa"/>
                  <w:vMerge/>
                </w:tcPr>
                <w:p w14:paraId="7F5CF8B4" w14:textId="77777777" w:rsidR="00AB462E" w:rsidRPr="009246FF" w:rsidRDefault="00AB462E" w:rsidP="001B5159">
                  <w:pPr>
                    <w:pStyle w:val="NoSpacing"/>
                    <w:rPr>
                      <w:rFonts w:ascii="Arial" w:hAnsi="Arial" w:cs="Arial"/>
                      <w:b/>
                      <w:bCs/>
                    </w:rPr>
                  </w:pPr>
                </w:p>
              </w:tc>
              <w:tc>
                <w:tcPr>
                  <w:tcW w:w="4536" w:type="dxa"/>
                </w:tcPr>
                <w:p w14:paraId="2CBE0468" w14:textId="5EC853F4" w:rsidR="00AB462E" w:rsidRPr="009246FF" w:rsidRDefault="00AB462E" w:rsidP="00AB462E">
                  <w:pPr>
                    <w:jc w:val="both"/>
                    <w:rPr>
                      <w:rFonts w:ascii="Arial" w:hAnsi="Arial" w:cs="Arial"/>
                      <w:b/>
                      <w:bCs/>
                    </w:rPr>
                  </w:pPr>
                  <w:r w:rsidRPr="009246FF">
                    <w:rPr>
                      <w:rFonts w:ascii="Arial" w:hAnsi="Arial" w:cs="Arial"/>
                    </w:rPr>
                    <w:t xml:space="preserve">Coastal lagoons (1150) </w:t>
                  </w:r>
                  <w:r w:rsidRPr="009246FF">
                    <w:rPr>
                      <w:rFonts w:ascii="Arial" w:hAnsi="Arial" w:cs="Arial"/>
                      <w:b/>
                      <w:bCs/>
                    </w:rPr>
                    <w:t>R</w:t>
                  </w:r>
                </w:p>
              </w:tc>
              <w:tc>
                <w:tcPr>
                  <w:tcW w:w="874" w:type="dxa"/>
                </w:tcPr>
                <w:p w14:paraId="10BBDCBB" w14:textId="774EBF76" w:rsidR="00AB462E" w:rsidRPr="009246FF" w:rsidRDefault="00AB462E" w:rsidP="00AB462E">
                  <w:pPr>
                    <w:jc w:val="both"/>
                    <w:rPr>
                      <w:rFonts w:ascii="Arial" w:hAnsi="Arial" w:cs="Arial"/>
                      <w:lang w:val="en-US"/>
                    </w:rPr>
                  </w:pPr>
                  <w:r w:rsidRPr="009246FF">
                    <w:rPr>
                      <w:rFonts w:ascii="Arial" w:hAnsi="Arial" w:cs="Arial"/>
                      <w:lang w:val="en-US"/>
                    </w:rPr>
                    <w:t>N</w:t>
                  </w:r>
                </w:p>
              </w:tc>
              <w:tc>
                <w:tcPr>
                  <w:tcW w:w="851" w:type="dxa"/>
                </w:tcPr>
                <w:p w14:paraId="120FA856" w14:textId="69B7FA15" w:rsidR="00AB462E" w:rsidRPr="009246FF" w:rsidRDefault="00AB462E" w:rsidP="00AB462E">
                  <w:pPr>
                    <w:jc w:val="both"/>
                    <w:rPr>
                      <w:rFonts w:ascii="Arial" w:hAnsi="Arial" w:cs="Arial"/>
                      <w:lang w:val="en-US"/>
                    </w:rPr>
                  </w:pPr>
                  <w:r w:rsidRPr="009246FF">
                    <w:rPr>
                      <w:rFonts w:ascii="Arial" w:hAnsi="Arial" w:cs="Arial"/>
                      <w:lang w:val="en-US"/>
                    </w:rPr>
                    <w:t>N</w:t>
                  </w:r>
                </w:p>
              </w:tc>
              <w:tc>
                <w:tcPr>
                  <w:tcW w:w="1107" w:type="dxa"/>
                </w:tcPr>
                <w:p w14:paraId="7DB999C5" w14:textId="6B5AA75C" w:rsidR="00AB462E" w:rsidRPr="009246FF" w:rsidRDefault="00AB462E" w:rsidP="00AB462E">
                  <w:pPr>
                    <w:jc w:val="both"/>
                    <w:rPr>
                      <w:rFonts w:ascii="Arial" w:hAnsi="Arial" w:cs="Arial"/>
                      <w:lang w:val="en-US"/>
                    </w:rPr>
                  </w:pPr>
                  <w:r w:rsidRPr="009246FF">
                    <w:rPr>
                      <w:rFonts w:ascii="Arial" w:hAnsi="Arial" w:cs="Arial"/>
                      <w:lang w:val="en-US"/>
                    </w:rPr>
                    <w:t>N</w:t>
                  </w:r>
                </w:p>
              </w:tc>
            </w:tr>
            <w:tr w:rsidR="00AB462E" w:rsidRPr="009246FF" w14:paraId="3905DBF7" w14:textId="77777777" w:rsidTr="0051499C">
              <w:trPr>
                <w:trHeight w:val="268"/>
              </w:trPr>
              <w:tc>
                <w:tcPr>
                  <w:tcW w:w="1446" w:type="dxa"/>
                  <w:vMerge/>
                </w:tcPr>
                <w:p w14:paraId="14687286" w14:textId="77777777" w:rsidR="00AB462E" w:rsidRPr="009246FF" w:rsidRDefault="00AB462E" w:rsidP="001B5159">
                  <w:pPr>
                    <w:pStyle w:val="NoSpacing"/>
                    <w:rPr>
                      <w:rFonts w:ascii="Arial" w:hAnsi="Arial" w:cs="Arial"/>
                      <w:b/>
                      <w:bCs/>
                    </w:rPr>
                  </w:pPr>
                </w:p>
              </w:tc>
              <w:tc>
                <w:tcPr>
                  <w:tcW w:w="4536" w:type="dxa"/>
                </w:tcPr>
                <w:p w14:paraId="05FE3D40" w14:textId="268ED72B" w:rsidR="00AB462E" w:rsidRPr="009246FF" w:rsidRDefault="00AB462E" w:rsidP="00AB462E">
                  <w:pPr>
                    <w:jc w:val="both"/>
                    <w:rPr>
                      <w:rFonts w:ascii="Arial" w:hAnsi="Arial" w:cs="Arial"/>
                      <w:b/>
                      <w:bCs/>
                    </w:rPr>
                  </w:pPr>
                  <w:r w:rsidRPr="009246FF">
                    <w:rPr>
                      <w:rFonts w:ascii="Arial" w:hAnsi="Arial" w:cs="Arial"/>
                    </w:rPr>
                    <w:t xml:space="preserve">Large shallow inlets and bays (1160) </w:t>
                  </w:r>
                  <w:r w:rsidRPr="009246FF">
                    <w:rPr>
                      <w:rFonts w:ascii="Arial" w:hAnsi="Arial" w:cs="Arial"/>
                      <w:b/>
                      <w:bCs/>
                    </w:rPr>
                    <w:t>M</w:t>
                  </w:r>
                </w:p>
              </w:tc>
              <w:tc>
                <w:tcPr>
                  <w:tcW w:w="874" w:type="dxa"/>
                </w:tcPr>
                <w:p w14:paraId="05806711" w14:textId="0649CFAE" w:rsidR="00AB462E" w:rsidRPr="009246FF" w:rsidRDefault="00AB462E" w:rsidP="00AB462E">
                  <w:pPr>
                    <w:jc w:val="both"/>
                    <w:rPr>
                      <w:rFonts w:ascii="Arial" w:hAnsi="Arial" w:cs="Arial"/>
                      <w:lang w:val="en-US"/>
                    </w:rPr>
                  </w:pPr>
                  <w:r w:rsidRPr="009246FF">
                    <w:rPr>
                      <w:rFonts w:ascii="Arial" w:hAnsi="Arial" w:cs="Arial"/>
                      <w:lang w:val="en-US"/>
                    </w:rPr>
                    <w:t>N</w:t>
                  </w:r>
                </w:p>
              </w:tc>
              <w:tc>
                <w:tcPr>
                  <w:tcW w:w="851" w:type="dxa"/>
                </w:tcPr>
                <w:p w14:paraId="29FEAE1A" w14:textId="36096D86" w:rsidR="00AB462E" w:rsidRPr="009246FF" w:rsidRDefault="00AB462E" w:rsidP="00AB462E">
                  <w:pPr>
                    <w:jc w:val="both"/>
                    <w:rPr>
                      <w:rFonts w:ascii="Arial" w:hAnsi="Arial" w:cs="Arial"/>
                      <w:lang w:val="en-US"/>
                    </w:rPr>
                  </w:pPr>
                  <w:r w:rsidRPr="009246FF">
                    <w:rPr>
                      <w:rFonts w:ascii="Arial" w:hAnsi="Arial" w:cs="Arial"/>
                      <w:lang w:val="en-US"/>
                    </w:rPr>
                    <w:t>N</w:t>
                  </w:r>
                </w:p>
              </w:tc>
              <w:tc>
                <w:tcPr>
                  <w:tcW w:w="1107" w:type="dxa"/>
                </w:tcPr>
                <w:p w14:paraId="2A69D464" w14:textId="62391BAF" w:rsidR="00AB462E" w:rsidRPr="009246FF" w:rsidRDefault="00AB462E" w:rsidP="00AB462E">
                  <w:pPr>
                    <w:jc w:val="both"/>
                    <w:rPr>
                      <w:rFonts w:ascii="Arial" w:hAnsi="Arial" w:cs="Arial"/>
                      <w:lang w:val="en-US"/>
                    </w:rPr>
                  </w:pPr>
                  <w:r w:rsidRPr="009246FF">
                    <w:rPr>
                      <w:rFonts w:ascii="Arial" w:hAnsi="Arial" w:cs="Arial"/>
                      <w:lang w:val="en-US"/>
                    </w:rPr>
                    <w:t>N</w:t>
                  </w:r>
                </w:p>
              </w:tc>
            </w:tr>
            <w:tr w:rsidR="00AB462E" w:rsidRPr="009246FF" w14:paraId="53906066" w14:textId="77777777" w:rsidTr="0051499C">
              <w:trPr>
                <w:trHeight w:val="250"/>
              </w:trPr>
              <w:tc>
                <w:tcPr>
                  <w:tcW w:w="1446" w:type="dxa"/>
                  <w:vMerge/>
                </w:tcPr>
                <w:p w14:paraId="49A171AB" w14:textId="77777777" w:rsidR="00AB462E" w:rsidRPr="009246FF" w:rsidRDefault="00AB462E" w:rsidP="001B5159">
                  <w:pPr>
                    <w:pStyle w:val="NoSpacing"/>
                    <w:rPr>
                      <w:rFonts w:ascii="Arial" w:hAnsi="Arial" w:cs="Arial"/>
                      <w:b/>
                      <w:bCs/>
                    </w:rPr>
                  </w:pPr>
                </w:p>
              </w:tc>
              <w:tc>
                <w:tcPr>
                  <w:tcW w:w="4536" w:type="dxa"/>
                </w:tcPr>
                <w:p w14:paraId="51929053" w14:textId="0B0FDB58" w:rsidR="00AB462E" w:rsidRPr="009246FF" w:rsidRDefault="00AB462E" w:rsidP="00AB462E">
                  <w:pPr>
                    <w:jc w:val="both"/>
                    <w:rPr>
                      <w:rFonts w:ascii="Arial" w:hAnsi="Arial" w:cs="Arial"/>
                      <w:b/>
                      <w:bCs/>
                    </w:rPr>
                  </w:pPr>
                  <w:r w:rsidRPr="009246FF">
                    <w:rPr>
                      <w:rFonts w:ascii="Arial" w:hAnsi="Arial" w:cs="Arial"/>
                    </w:rPr>
                    <w:t>Reefs (1170)</w:t>
                  </w:r>
                  <w:r w:rsidRPr="009246FF">
                    <w:rPr>
                      <w:rFonts w:ascii="Arial" w:hAnsi="Arial" w:cs="Arial"/>
                      <w:b/>
                      <w:bCs/>
                    </w:rPr>
                    <w:t xml:space="preserve"> M</w:t>
                  </w:r>
                </w:p>
              </w:tc>
              <w:tc>
                <w:tcPr>
                  <w:tcW w:w="874" w:type="dxa"/>
                </w:tcPr>
                <w:p w14:paraId="7EB7ACDF" w14:textId="60B61C2E" w:rsidR="00AB462E" w:rsidRPr="009246FF" w:rsidRDefault="00AB462E" w:rsidP="00AB462E">
                  <w:pPr>
                    <w:jc w:val="both"/>
                    <w:rPr>
                      <w:rFonts w:ascii="Arial" w:hAnsi="Arial" w:cs="Arial"/>
                      <w:lang w:val="en-US"/>
                    </w:rPr>
                  </w:pPr>
                  <w:r w:rsidRPr="009246FF">
                    <w:rPr>
                      <w:rFonts w:ascii="Arial" w:hAnsi="Arial" w:cs="Arial"/>
                      <w:lang w:val="en-US"/>
                    </w:rPr>
                    <w:t>N</w:t>
                  </w:r>
                </w:p>
              </w:tc>
              <w:tc>
                <w:tcPr>
                  <w:tcW w:w="851" w:type="dxa"/>
                </w:tcPr>
                <w:p w14:paraId="676FD65A" w14:textId="03C86724" w:rsidR="00AB462E" w:rsidRPr="009246FF" w:rsidRDefault="00AB462E" w:rsidP="00AB462E">
                  <w:pPr>
                    <w:jc w:val="both"/>
                    <w:rPr>
                      <w:rFonts w:ascii="Arial" w:hAnsi="Arial" w:cs="Arial"/>
                      <w:lang w:val="en-US"/>
                    </w:rPr>
                  </w:pPr>
                  <w:r w:rsidRPr="009246FF">
                    <w:rPr>
                      <w:rFonts w:ascii="Arial" w:hAnsi="Arial" w:cs="Arial"/>
                      <w:lang w:val="en-US"/>
                    </w:rPr>
                    <w:t>N</w:t>
                  </w:r>
                </w:p>
              </w:tc>
              <w:tc>
                <w:tcPr>
                  <w:tcW w:w="1107" w:type="dxa"/>
                </w:tcPr>
                <w:p w14:paraId="487F37E6" w14:textId="113E3E05" w:rsidR="00AB462E" w:rsidRPr="009246FF" w:rsidRDefault="00AB462E" w:rsidP="00AB462E">
                  <w:pPr>
                    <w:jc w:val="both"/>
                    <w:rPr>
                      <w:rFonts w:ascii="Arial" w:hAnsi="Arial" w:cs="Arial"/>
                      <w:lang w:val="en-US"/>
                    </w:rPr>
                  </w:pPr>
                  <w:r w:rsidRPr="009246FF">
                    <w:rPr>
                      <w:rFonts w:ascii="Arial" w:hAnsi="Arial" w:cs="Arial"/>
                      <w:lang w:val="en-US"/>
                    </w:rPr>
                    <w:t>N</w:t>
                  </w:r>
                </w:p>
              </w:tc>
            </w:tr>
            <w:tr w:rsidR="00AB462E" w:rsidRPr="009246FF" w14:paraId="07250DEE" w14:textId="77777777" w:rsidTr="0051499C">
              <w:trPr>
                <w:trHeight w:val="550"/>
              </w:trPr>
              <w:tc>
                <w:tcPr>
                  <w:tcW w:w="1446" w:type="dxa"/>
                  <w:vMerge/>
                </w:tcPr>
                <w:p w14:paraId="364A63D9" w14:textId="77777777" w:rsidR="00AB462E" w:rsidRPr="009246FF" w:rsidRDefault="00AB462E" w:rsidP="001B5159">
                  <w:pPr>
                    <w:pStyle w:val="NoSpacing"/>
                    <w:rPr>
                      <w:rFonts w:ascii="Arial" w:hAnsi="Arial" w:cs="Arial"/>
                      <w:b/>
                      <w:bCs/>
                    </w:rPr>
                  </w:pPr>
                </w:p>
              </w:tc>
              <w:tc>
                <w:tcPr>
                  <w:tcW w:w="4536" w:type="dxa"/>
                </w:tcPr>
                <w:p w14:paraId="5EE54A0E" w14:textId="31B5E06A" w:rsidR="00AB462E" w:rsidRPr="009246FF" w:rsidRDefault="00AB462E" w:rsidP="00AB462E">
                  <w:pPr>
                    <w:jc w:val="both"/>
                    <w:rPr>
                      <w:rFonts w:ascii="Arial" w:hAnsi="Arial" w:cs="Arial"/>
                      <w:b/>
                      <w:bCs/>
                    </w:rPr>
                  </w:pPr>
                  <w:proofErr w:type="spellStart"/>
                  <w:r w:rsidRPr="009246FF">
                    <w:rPr>
                      <w:rFonts w:ascii="Arial" w:hAnsi="Arial" w:cs="Arial"/>
                    </w:rPr>
                    <w:t>Perrennial</w:t>
                  </w:r>
                  <w:proofErr w:type="spellEnd"/>
                  <w:r w:rsidRPr="009246FF">
                    <w:rPr>
                      <w:rFonts w:ascii="Arial" w:hAnsi="Arial" w:cs="Arial"/>
                    </w:rPr>
                    <w:t xml:space="preserve"> vegetation of stony banks (1220) </w:t>
                  </w:r>
                  <w:r w:rsidRPr="009246FF">
                    <w:rPr>
                      <w:rFonts w:ascii="Arial" w:hAnsi="Arial" w:cs="Arial"/>
                      <w:b/>
                      <w:bCs/>
                    </w:rPr>
                    <w:t>M</w:t>
                  </w:r>
                </w:p>
              </w:tc>
              <w:tc>
                <w:tcPr>
                  <w:tcW w:w="874" w:type="dxa"/>
                </w:tcPr>
                <w:p w14:paraId="6F0C9A95" w14:textId="3B7186BA" w:rsidR="00AB462E" w:rsidRPr="009246FF" w:rsidRDefault="00AB462E" w:rsidP="00AB462E">
                  <w:pPr>
                    <w:jc w:val="both"/>
                    <w:rPr>
                      <w:rFonts w:ascii="Arial" w:hAnsi="Arial" w:cs="Arial"/>
                      <w:lang w:val="en-US"/>
                    </w:rPr>
                  </w:pPr>
                  <w:r w:rsidRPr="009246FF">
                    <w:rPr>
                      <w:rFonts w:ascii="Arial" w:hAnsi="Arial" w:cs="Arial"/>
                      <w:lang w:val="en-US"/>
                    </w:rPr>
                    <w:t>N</w:t>
                  </w:r>
                </w:p>
                <w:p w14:paraId="1D56ED34" w14:textId="785CD799" w:rsidR="00AB462E" w:rsidRPr="009246FF" w:rsidRDefault="00AB462E" w:rsidP="00AB462E">
                  <w:pPr>
                    <w:jc w:val="both"/>
                    <w:rPr>
                      <w:rFonts w:ascii="Arial" w:hAnsi="Arial" w:cs="Arial"/>
                      <w:lang w:val="en-US"/>
                    </w:rPr>
                  </w:pPr>
                </w:p>
              </w:tc>
              <w:tc>
                <w:tcPr>
                  <w:tcW w:w="851" w:type="dxa"/>
                </w:tcPr>
                <w:p w14:paraId="2AD6AFDF" w14:textId="14A858AB" w:rsidR="00AB462E" w:rsidRPr="009246FF" w:rsidRDefault="00AB462E" w:rsidP="00AB462E">
                  <w:pPr>
                    <w:jc w:val="both"/>
                    <w:rPr>
                      <w:rFonts w:ascii="Arial" w:hAnsi="Arial" w:cs="Arial"/>
                      <w:lang w:val="en-US"/>
                    </w:rPr>
                  </w:pPr>
                  <w:r w:rsidRPr="009246FF">
                    <w:rPr>
                      <w:rFonts w:ascii="Arial" w:hAnsi="Arial" w:cs="Arial"/>
                      <w:lang w:val="en-US"/>
                    </w:rPr>
                    <w:t>N</w:t>
                  </w:r>
                </w:p>
              </w:tc>
              <w:tc>
                <w:tcPr>
                  <w:tcW w:w="1107" w:type="dxa"/>
                </w:tcPr>
                <w:p w14:paraId="71C5190E" w14:textId="71732763" w:rsidR="00AB462E" w:rsidRPr="009246FF" w:rsidRDefault="00AB462E" w:rsidP="00AB462E">
                  <w:pPr>
                    <w:jc w:val="both"/>
                    <w:rPr>
                      <w:rFonts w:ascii="Arial" w:hAnsi="Arial" w:cs="Arial"/>
                      <w:lang w:val="en-US"/>
                    </w:rPr>
                  </w:pPr>
                  <w:r w:rsidRPr="009246FF">
                    <w:rPr>
                      <w:rFonts w:ascii="Arial" w:hAnsi="Arial" w:cs="Arial"/>
                      <w:lang w:val="en-US"/>
                    </w:rPr>
                    <w:t>N</w:t>
                  </w:r>
                </w:p>
                <w:p w14:paraId="0925B889" w14:textId="4567FB02" w:rsidR="00AB462E" w:rsidRPr="009246FF" w:rsidRDefault="00AB462E" w:rsidP="00AB462E">
                  <w:pPr>
                    <w:jc w:val="both"/>
                    <w:rPr>
                      <w:rFonts w:ascii="Arial" w:hAnsi="Arial" w:cs="Arial"/>
                      <w:lang w:val="en-US"/>
                    </w:rPr>
                  </w:pPr>
                </w:p>
              </w:tc>
            </w:tr>
            <w:tr w:rsidR="00AB462E" w:rsidRPr="009246FF" w14:paraId="0449E858" w14:textId="77777777" w:rsidTr="0051499C">
              <w:trPr>
                <w:trHeight w:val="434"/>
              </w:trPr>
              <w:tc>
                <w:tcPr>
                  <w:tcW w:w="1446" w:type="dxa"/>
                  <w:vMerge/>
                </w:tcPr>
                <w:p w14:paraId="4A467C87" w14:textId="77777777" w:rsidR="00AB462E" w:rsidRPr="009246FF" w:rsidRDefault="00AB462E" w:rsidP="001B5159">
                  <w:pPr>
                    <w:pStyle w:val="NoSpacing"/>
                    <w:rPr>
                      <w:rFonts w:ascii="Arial" w:hAnsi="Arial" w:cs="Arial"/>
                      <w:b/>
                      <w:bCs/>
                    </w:rPr>
                  </w:pPr>
                </w:p>
              </w:tc>
              <w:tc>
                <w:tcPr>
                  <w:tcW w:w="4536" w:type="dxa"/>
                </w:tcPr>
                <w:p w14:paraId="0D241DAA" w14:textId="38679C49" w:rsidR="00AB462E" w:rsidRPr="009246FF" w:rsidRDefault="00AB462E" w:rsidP="00AB462E">
                  <w:pPr>
                    <w:jc w:val="both"/>
                    <w:rPr>
                      <w:rFonts w:ascii="Arial" w:hAnsi="Arial" w:cs="Arial"/>
                      <w:b/>
                      <w:bCs/>
                    </w:rPr>
                  </w:pPr>
                  <w:r w:rsidRPr="009246FF">
                    <w:rPr>
                      <w:rFonts w:ascii="Arial" w:hAnsi="Arial" w:cs="Arial"/>
                    </w:rPr>
                    <w:t xml:space="preserve">Vegetated sea cliffs of Atlantic and Baltic Coasts (1230) </w:t>
                  </w:r>
                  <w:r w:rsidRPr="009246FF">
                    <w:rPr>
                      <w:rFonts w:ascii="Arial" w:hAnsi="Arial" w:cs="Arial"/>
                      <w:b/>
                      <w:bCs/>
                    </w:rPr>
                    <w:t>M</w:t>
                  </w:r>
                </w:p>
              </w:tc>
              <w:tc>
                <w:tcPr>
                  <w:tcW w:w="874" w:type="dxa"/>
                </w:tcPr>
                <w:p w14:paraId="3D92B556" w14:textId="4CFB037B" w:rsidR="00AB462E" w:rsidRPr="009246FF" w:rsidRDefault="00AB462E" w:rsidP="00AB462E">
                  <w:pPr>
                    <w:jc w:val="both"/>
                    <w:rPr>
                      <w:rFonts w:ascii="Arial" w:hAnsi="Arial" w:cs="Arial"/>
                      <w:lang w:val="en-US"/>
                    </w:rPr>
                  </w:pPr>
                  <w:r w:rsidRPr="009246FF">
                    <w:rPr>
                      <w:rFonts w:ascii="Arial" w:hAnsi="Arial" w:cs="Arial"/>
                      <w:lang w:val="en-US"/>
                    </w:rPr>
                    <w:t>N</w:t>
                  </w:r>
                </w:p>
              </w:tc>
              <w:tc>
                <w:tcPr>
                  <w:tcW w:w="851" w:type="dxa"/>
                </w:tcPr>
                <w:p w14:paraId="758FADFE" w14:textId="00107668" w:rsidR="00AB462E" w:rsidRPr="009246FF" w:rsidRDefault="00AB462E" w:rsidP="00AB462E">
                  <w:pPr>
                    <w:jc w:val="both"/>
                    <w:rPr>
                      <w:rFonts w:ascii="Arial" w:hAnsi="Arial" w:cs="Arial"/>
                      <w:lang w:val="en-US"/>
                    </w:rPr>
                  </w:pPr>
                  <w:r w:rsidRPr="009246FF">
                    <w:rPr>
                      <w:rFonts w:ascii="Arial" w:hAnsi="Arial" w:cs="Arial"/>
                      <w:lang w:val="en-US"/>
                    </w:rPr>
                    <w:t>N</w:t>
                  </w:r>
                </w:p>
                <w:p w14:paraId="40436F05" w14:textId="3706D83C" w:rsidR="00AB462E" w:rsidRPr="009246FF" w:rsidRDefault="00AB462E" w:rsidP="00AB462E">
                  <w:pPr>
                    <w:jc w:val="both"/>
                    <w:rPr>
                      <w:rFonts w:ascii="Arial" w:hAnsi="Arial" w:cs="Arial"/>
                      <w:lang w:val="en-US"/>
                    </w:rPr>
                  </w:pPr>
                </w:p>
              </w:tc>
              <w:tc>
                <w:tcPr>
                  <w:tcW w:w="1107" w:type="dxa"/>
                </w:tcPr>
                <w:p w14:paraId="237BBC3C" w14:textId="17F22ADD" w:rsidR="00AB462E" w:rsidRPr="009246FF" w:rsidRDefault="00AB462E" w:rsidP="00AB462E">
                  <w:pPr>
                    <w:jc w:val="both"/>
                    <w:rPr>
                      <w:rFonts w:ascii="Arial" w:hAnsi="Arial" w:cs="Arial"/>
                      <w:lang w:val="en-US"/>
                    </w:rPr>
                  </w:pPr>
                  <w:r w:rsidRPr="009246FF">
                    <w:rPr>
                      <w:rFonts w:ascii="Arial" w:hAnsi="Arial" w:cs="Arial"/>
                      <w:lang w:val="en-US"/>
                    </w:rPr>
                    <w:t>N</w:t>
                  </w:r>
                </w:p>
                <w:p w14:paraId="7606F74B" w14:textId="20EB88A8" w:rsidR="00AB462E" w:rsidRPr="009246FF" w:rsidRDefault="00AB462E" w:rsidP="00AB462E">
                  <w:pPr>
                    <w:jc w:val="both"/>
                    <w:rPr>
                      <w:rFonts w:ascii="Arial" w:hAnsi="Arial" w:cs="Arial"/>
                      <w:lang w:val="en-US"/>
                    </w:rPr>
                  </w:pPr>
                </w:p>
              </w:tc>
            </w:tr>
            <w:tr w:rsidR="00AB462E" w:rsidRPr="009246FF" w14:paraId="5745D877" w14:textId="77777777" w:rsidTr="0051499C">
              <w:trPr>
                <w:trHeight w:val="475"/>
              </w:trPr>
              <w:tc>
                <w:tcPr>
                  <w:tcW w:w="1446" w:type="dxa"/>
                  <w:vMerge/>
                </w:tcPr>
                <w:p w14:paraId="57DEEBE8" w14:textId="77777777" w:rsidR="00AB462E" w:rsidRPr="009246FF" w:rsidRDefault="00AB462E" w:rsidP="001B5159">
                  <w:pPr>
                    <w:pStyle w:val="NoSpacing"/>
                    <w:rPr>
                      <w:rFonts w:ascii="Arial" w:hAnsi="Arial" w:cs="Arial"/>
                      <w:b/>
                      <w:bCs/>
                    </w:rPr>
                  </w:pPr>
                </w:p>
              </w:tc>
              <w:tc>
                <w:tcPr>
                  <w:tcW w:w="4536" w:type="dxa"/>
                </w:tcPr>
                <w:p w14:paraId="1E0D055D" w14:textId="45080867" w:rsidR="00AB462E" w:rsidRPr="009246FF" w:rsidRDefault="00AB462E" w:rsidP="00AB462E">
                  <w:pPr>
                    <w:jc w:val="both"/>
                    <w:rPr>
                      <w:rFonts w:ascii="Arial" w:hAnsi="Arial" w:cs="Arial"/>
                      <w:b/>
                      <w:bCs/>
                    </w:rPr>
                  </w:pPr>
                  <w:r w:rsidRPr="009246FF">
                    <w:rPr>
                      <w:rFonts w:ascii="Arial" w:hAnsi="Arial" w:cs="Arial"/>
                    </w:rPr>
                    <w:t xml:space="preserve">Salicornia and annuals colonising mud &amp; sand (1310) </w:t>
                  </w:r>
                  <w:r w:rsidRPr="009246FF">
                    <w:rPr>
                      <w:rFonts w:ascii="Arial" w:hAnsi="Arial" w:cs="Arial"/>
                      <w:b/>
                      <w:bCs/>
                    </w:rPr>
                    <w:t>M</w:t>
                  </w:r>
                </w:p>
              </w:tc>
              <w:tc>
                <w:tcPr>
                  <w:tcW w:w="874" w:type="dxa"/>
                </w:tcPr>
                <w:p w14:paraId="749391B4" w14:textId="73723BF1" w:rsidR="00AB462E" w:rsidRPr="009246FF" w:rsidRDefault="00AB462E" w:rsidP="00AB462E">
                  <w:pPr>
                    <w:jc w:val="both"/>
                    <w:rPr>
                      <w:rFonts w:ascii="Arial" w:hAnsi="Arial" w:cs="Arial"/>
                      <w:lang w:val="en-US"/>
                    </w:rPr>
                  </w:pPr>
                  <w:r w:rsidRPr="009246FF">
                    <w:rPr>
                      <w:rFonts w:ascii="Arial" w:hAnsi="Arial" w:cs="Arial"/>
                      <w:lang w:val="en-US"/>
                    </w:rPr>
                    <w:t>N</w:t>
                  </w:r>
                </w:p>
              </w:tc>
              <w:tc>
                <w:tcPr>
                  <w:tcW w:w="851" w:type="dxa"/>
                </w:tcPr>
                <w:p w14:paraId="5C49AD2F" w14:textId="6D6FF2D8" w:rsidR="00AB462E" w:rsidRPr="009246FF" w:rsidRDefault="00AB462E" w:rsidP="00AB462E">
                  <w:pPr>
                    <w:jc w:val="both"/>
                    <w:rPr>
                      <w:rFonts w:ascii="Arial" w:hAnsi="Arial" w:cs="Arial"/>
                      <w:lang w:val="en-US"/>
                    </w:rPr>
                  </w:pPr>
                  <w:r w:rsidRPr="009246FF">
                    <w:rPr>
                      <w:rFonts w:ascii="Arial" w:hAnsi="Arial" w:cs="Arial"/>
                      <w:lang w:val="en-US"/>
                    </w:rPr>
                    <w:t>N</w:t>
                  </w:r>
                </w:p>
              </w:tc>
              <w:tc>
                <w:tcPr>
                  <w:tcW w:w="1107" w:type="dxa"/>
                </w:tcPr>
                <w:p w14:paraId="1185DB97" w14:textId="6879E47A" w:rsidR="00AB462E" w:rsidRPr="009246FF" w:rsidRDefault="00AB462E" w:rsidP="00AB462E">
                  <w:pPr>
                    <w:jc w:val="both"/>
                    <w:rPr>
                      <w:rFonts w:ascii="Arial" w:hAnsi="Arial" w:cs="Arial"/>
                      <w:lang w:val="en-US"/>
                    </w:rPr>
                  </w:pPr>
                  <w:r w:rsidRPr="009246FF">
                    <w:rPr>
                      <w:rFonts w:ascii="Arial" w:hAnsi="Arial" w:cs="Arial"/>
                      <w:lang w:val="en-US"/>
                    </w:rPr>
                    <w:t>N</w:t>
                  </w:r>
                </w:p>
              </w:tc>
            </w:tr>
            <w:tr w:rsidR="00AB462E" w:rsidRPr="009246FF" w14:paraId="440EC673" w14:textId="77777777" w:rsidTr="0051499C">
              <w:trPr>
                <w:trHeight w:val="333"/>
              </w:trPr>
              <w:tc>
                <w:tcPr>
                  <w:tcW w:w="1446" w:type="dxa"/>
                  <w:vMerge/>
                </w:tcPr>
                <w:p w14:paraId="1520AEFE" w14:textId="77777777" w:rsidR="00AB462E" w:rsidRPr="009246FF" w:rsidRDefault="00AB462E" w:rsidP="001B5159">
                  <w:pPr>
                    <w:pStyle w:val="NoSpacing"/>
                    <w:rPr>
                      <w:rFonts w:ascii="Arial" w:hAnsi="Arial" w:cs="Arial"/>
                      <w:b/>
                      <w:bCs/>
                    </w:rPr>
                  </w:pPr>
                </w:p>
              </w:tc>
              <w:tc>
                <w:tcPr>
                  <w:tcW w:w="4536" w:type="dxa"/>
                </w:tcPr>
                <w:p w14:paraId="21E607C3" w14:textId="46BCACC4" w:rsidR="00AB462E" w:rsidRPr="009246FF" w:rsidRDefault="00AB462E" w:rsidP="00AB462E">
                  <w:pPr>
                    <w:jc w:val="both"/>
                    <w:rPr>
                      <w:rFonts w:ascii="Arial" w:hAnsi="Arial" w:cs="Arial"/>
                      <w:b/>
                      <w:bCs/>
                    </w:rPr>
                  </w:pPr>
                  <w:r w:rsidRPr="009246FF">
                    <w:rPr>
                      <w:rFonts w:ascii="Arial" w:hAnsi="Arial" w:cs="Arial"/>
                    </w:rPr>
                    <w:t xml:space="preserve">Atlantic salt meadows (1330) </w:t>
                  </w:r>
                  <w:r w:rsidRPr="009246FF">
                    <w:rPr>
                      <w:rFonts w:ascii="Arial" w:hAnsi="Arial" w:cs="Arial"/>
                      <w:b/>
                      <w:bCs/>
                    </w:rPr>
                    <w:t>R</w:t>
                  </w:r>
                </w:p>
              </w:tc>
              <w:tc>
                <w:tcPr>
                  <w:tcW w:w="874" w:type="dxa"/>
                </w:tcPr>
                <w:p w14:paraId="10C4943E" w14:textId="53D7543B" w:rsidR="00AB462E" w:rsidRPr="009246FF" w:rsidRDefault="00AB462E" w:rsidP="00AB462E">
                  <w:pPr>
                    <w:jc w:val="both"/>
                    <w:rPr>
                      <w:rFonts w:ascii="Arial" w:hAnsi="Arial" w:cs="Arial"/>
                      <w:lang w:val="en-US"/>
                    </w:rPr>
                  </w:pPr>
                  <w:r w:rsidRPr="009246FF">
                    <w:rPr>
                      <w:rFonts w:ascii="Arial" w:hAnsi="Arial" w:cs="Arial"/>
                      <w:lang w:val="en-US"/>
                    </w:rPr>
                    <w:t>N</w:t>
                  </w:r>
                </w:p>
              </w:tc>
              <w:tc>
                <w:tcPr>
                  <w:tcW w:w="851" w:type="dxa"/>
                </w:tcPr>
                <w:p w14:paraId="6077BE2D" w14:textId="18C7C41D" w:rsidR="00AB462E" w:rsidRPr="009246FF" w:rsidRDefault="00AB462E" w:rsidP="00AB462E">
                  <w:pPr>
                    <w:jc w:val="both"/>
                    <w:rPr>
                      <w:rFonts w:ascii="Arial" w:hAnsi="Arial" w:cs="Arial"/>
                      <w:lang w:val="en-US"/>
                    </w:rPr>
                  </w:pPr>
                  <w:r w:rsidRPr="009246FF">
                    <w:rPr>
                      <w:rFonts w:ascii="Arial" w:hAnsi="Arial" w:cs="Arial"/>
                      <w:lang w:val="en-US"/>
                    </w:rPr>
                    <w:t>N</w:t>
                  </w:r>
                </w:p>
              </w:tc>
              <w:tc>
                <w:tcPr>
                  <w:tcW w:w="1107" w:type="dxa"/>
                </w:tcPr>
                <w:p w14:paraId="6CC7B244" w14:textId="29C7D86E" w:rsidR="00AB462E" w:rsidRPr="009246FF" w:rsidRDefault="00AB462E" w:rsidP="00AB462E">
                  <w:pPr>
                    <w:jc w:val="both"/>
                    <w:rPr>
                      <w:rFonts w:ascii="Arial" w:hAnsi="Arial" w:cs="Arial"/>
                      <w:lang w:val="en-US"/>
                    </w:rPr>
                  </w:pPr>
                  <w:r w:rsidRPr="009246FF">
                    <w:rPr>
                      <w:rFonts w:ascii="Arial" w:hAnsi="Arial" w:cs="Arial"/>
                      <w:lang w:val="en-US"/>
                    </w:rPr>
                    <w:t>N</w:t>
                  </w:r>
                </w:p>
              </w:tc>
            </w:tr>
            <w:tr w:rsidR="00AB462E" w:rsidRPr="009246FF" w14:paraId="093B6B6B" w14:textId="77777777" w:rsidTr="0051499C">
              <w:trPr>
                <w:trHeight w:val="266"/>
              </w:trPr>
              <w:tc>
                <w:tcPr>
                  <w:tcW w:w="1446" w:type="dxa"/>
                  <w:vMerge/>
                </w:tcPr>
                <w:p w14:paraId="41614496" w14:textId="77777777" w:rsidR="00AB462E" w:rsidRPr="009246FF" w:rsidRDefault="00AB462E" w:rsidP="001B5159">
                  <w:pPr>
                    <w:pStyle w:val="NoSpacing"/>
                    <w:rPr>
                      <w:rFonts w:ascii="Arial" w:hAnsi="Arial" w:cs="Arial"/>
                      <w:b/>
                      <w:bCs/>
                    </w:rPr>
                  </w:pPr>
                </w:p>
              </w:tc>
              <w:tc>
                <w:tcPr>
                  <w:tcW w:w="4536" w:type="dxa"/>
                </w:tcPr>
                <w:p w14:paraId="4B910316" w14:textId="69D4A4F6" w:rsidR="00AB462E" w:rsidRPr="009246FF" w:rsidRDefault="00AB462E" w:rsidP="00AB462E">
                  <w:pPr>
                    <w:jc w:val="both"/>
                    <w:rPr>
                      <w:rFonts w:ascii="Arial" w:hAnsi="Arial" w:cs="Arial"/>
                      <w:b/>
                      <w:bCs/>
                    </w:rPr>
                  </w:pPr>
                  <w:r w:rsidRPr="009246FF">
                    <w:rPr>
                      <w:rFonts w:ascii="Arial" w:hAnsi="Arial" w:cs="Arial"/>
                    </w:rPr>
                    <w:t xml:space="preserve">Mediterranean salt meadows (1410) </w:t>
                  </w:r>
                  <w:r w:rsidRPr="009246FF">
                    <w:rPr>
                      <w:rFonts w:ascii="Arial" w:hAnsi="Arial" w:cs="Arial"/>
                      <w:b/>
                      <w:bCs/>
                    </w:rPr>
                    <w:t>R</w:t>
                  </w:r>
                </w:p>
              </w:tc>
              <w:tc>
                <w:tcPr>
                  <w:tcW w:w="874" w:type="dxa"/>
                </w:tcPr>
                <w:p w14:paraId="15303F9B" w14:textId="74204998" w:rsidR="00AB462E" w:rsidRPr="009246FF" w:rsidRDefault="00AB462E" w:rsidP="00AB462E">
                  <w:pPr>
                    <w:jc w:val="both"/>
                    <w:rPr>
                      <w:rFonts w:ascii="Arial" w:hAnsi="Arial" w:cs="Arial"/>
                      <w:lang w:val="en-US"/>
                    </w:rPr>
                  </w:pPr>
                  <w:r w:rsidRPr="009246FF">
                    <w:rPr>
                      <w:rFonts w:ascii="Arial" w:hAnsi="Arial" w:cs="Arial"/>
                      <w:lang w:val="en-US"/>
                    </w:rPr>
                    <w:t>N</w:t>
                  </w:r>
                </w:p>
              </w:tc>
              <w:tc>
                <w:tcPr>
                  <w:tcW w:w="851" w:type="dxa"/>
                </w:tcPr>
                <w:p w14:paraId="7704E443" w14:textId="271D3598" w:rsidR="00AB462E" w:rsidRPr="009246FF" w:rsidRDefault="00AB462E" w:rsidP="00AB462E">
                  <w:pPr>
                    <w:jc w:val="both"/>
                    <w:rPr>
                      <w:rFonts w:ascii="Arial" w:hAnsi="Arial" w:cs="Arial"/>
                      <w:lang w:val="en-US"/>
                    </w:rPr>
                  </w:pPr>
                  <w:r w:rsidRPr="009246FF">
                    <w:rPr>
                      <w:rFonts w:ascii="Arial" w:hAnsi="Arial" w:cs="Arial"/>
                      <w:lang w:val="en-US"/>
                    </w:rPr>
                    <w:t>N</w:t>
                  </w:r>
                </w:p>
              </w:tc>
              <w:tc>
                <w:tcPr>
                  <w:tcW w:w="1107" w:type="dxa"/>
                </w:tcPr>
                <w:p w14:paraId="11B5DF12" w14:textId="35767787" w:rsidR="00AB462E" w:rsidRPr="009246FF" w:rsidRDefault="00AB462E" w:rsidP="00AB462E">
                  <w:pPr>
                    <w:jc w:val="both"/>
                    <w:rPr>
                      <w:rFonts w:ascii="Arial" w:hAnsi="Arial" w:cs="Arial"/>
                      <w:lang w:val="en-US"/>
                    </w:rPr>
                  </w:pPr>
                  <w:r w:rsidRPr="009246FF">
                    <w:rPr>
                      <w:rFonts w:ascii="Arial" w:hAnsi="Arial" w:cs="Arial"/>
                      <w:lang w:val="en-US"/>
                    </w:rPr>
                    <w:t>N</w:t>
                  </w:r>
                </w:p>
              </w:tc>
            </w:tr>
            <w:tr w:rsidR="00AB462E" w:rsidRPr="009246FF" w14:paraId="686FFBF5" w14:textId="77777777" w:rsidTr="0051499C">
              <w:trPr>
                <w:trHeight w:val="633"/>
              </w:trPr>
              <w:tc>
                <w:tcPr>
                  <w:tcW w:w="1446" w:type="dxa"/>
                  <w:vMerge/>
                </w:tcPr>
                <w:p w14:paraId="4CCB8D38" w14:textId="77777777" w:rsidR="00AB462E" w:rsidRPr="009246FF" w:rsidRDefault="00AB462E" w:rsidP="001B5159">
                  <w:pPr>
                    <w:pStyle w:val="NoSpacing"/>
                    <w:rPr>
                      <w:rFonts w:ascii="Arial" w:hAnsi="Arial" w:cs="Arial"/>
                      <w:b/>
                      <w:bCs/>
                    </w:rPr>
                  </w:pPr>
                </w:p>
              </w:tc>
              <w:tc>
                <w:tcPr>
                  <w:tcW w:w="4536" w:type="dxa"/>
                </w:tcPr>
                <w:p w14:paraId="37F58B44" w14:textId="04EE2872" w:rsidR="00AB462E" w:rsidRPr="009246FF" w:rsidRDefault="00AB462E" w:rsidP="00AB462E">
                  <w:pPr>
                    <w:jc w:val="both"/>
                    <w:rPr>
                      <w:rFonts w:ascii="Arial" w:hAnsi="Arial" w:cs="Arial"/>
                      <w:b/>
                      <w:bCs/>
                    </w:rPr>
                  </w:pPr>
                  <w:r w:rsidRPr="009246FF">
                    <w:rPr>
                      <w:rFonts w:ascii="Arial" w:hAnsi="Arial" w:cs="Arial"/>
                    </w:rPr>
                    <w:t xml:space="preserve">Water courses of plain to montane levels (3260) </w:t>
                  </w:r>
                  <w:r w:rsidRPr="009246FF">
                    <w:rPr>
                      <w:rFonts w:ascii="Arial" w:hAnsi="Arial" w:cs="Arial"/>
                      <w:b/>
                      <w:bCs/>
                    </w:rPr>
                    <w:t>M</w:t>
                  </w:r>
                </w:p>
              </w:tc>
              <w:tc>
                <w:tcPr>
                  <w:tcW w:w="874" w:type="dxa"/>
                </w:tcPr>
                <w:p w14:paraId="61EC7516" w14:textId="79F9E876" w:rsidR="00AB462E" w:rsidRPr="009246FF" w:rsidRDefault="00AB462E" w:rsidP="00AB462E">
                  <w:pPr>
                    <w:jc w:val="both"/>
                    <w:rPr>
                      <w:rFonts w:ascii="Arial" w:hAnsi="Arial" w:cs="Arial"/>
                      <w:lang w:val="en-US"/>
                    </w:rPr>
                  </w:pPr>
                  <w:r w:rsidRPr="009246FF">
                    <w:rPr>
                      <w:rFonts w:ascii="Arial" w:hAnsi="Arial" w:cs="Arial"/>
                      <w:lang w:val="en-US"/>
                    </w:rPr>
                    <w:t>N</w:t>
                  </w:r>
                </w:p>
              </w:tc>
              <w:tc>
                <w:tcPr>
                  <w:tcW w:w="851" w:type="dxa"/>
                </w:tcPr>
                <w:p w14:paraId="4754AE79" w14:textId="24F2CFAB" w:rsidR="00AB462E" w:rsidRPr="009246FF" w:rsidRDefault="00AB462E" w:rsidP="00AB462E">
                  <w:pPr>
                    <w:jc w:val="both"/>
                    <w:rPr>
                      <w:rFonts w:ascii="Arial" w:hAnsi="Arial" w:cs="Arial"/>
                      <w:lang w:val="en-US"/>
                    </w:rPr>
                  </w:pPr>
                  <w:r w:rsidRPr="009246FF">
                    <w:rPr>
                      <w:rFonts w:ascii="Arial" w:hAnsi="Arial" w:cs="Arial"/>
                      <w:lang w:val="en-US"/>
                    </w:rPr>
                    <w:t>N</w:t>
                  </w:r>
                </w:p>
              </w:tc>
              <w:tc>
                <w:tcPr>
                  <w:tcW w:w="1107" w:type="dxa"/>
                </w:tcPr>
                <w:p w14:paraId="16B63DDD" w14:textId="516B3343" w:rsidR="00AB462E" w:rsidRPr="009246FF" w:rsidRDefault="00AB462E" w:rsidP="00AB462E">
                  <w:pPr>
                    <w:jc w:val="both"/>
                    <w:rPr>
                      <w:rFonts w:ascii="Arial" w:hAnsi="Arial" w:cs="Arial"/>
                      <w:lang w:val="en-US"/>
                    </w:rPr>
                  </w:pPr>
                  <w:r w:rsidRPr="009246FF">
                    <w:rPr>
                      <w:rFonts w:ascii="Arial" w:hAnsi="Arial" w:cs="Arial"/>
                      <w:lang w:val="en-US"/>
                    </w:rPr>
                    <w:t>N</w:t>
                  </w:r>
                </w:p>
              </w:tc>
            </w:tr>
            <w:tr w:rsidR="00AB462E" w:rsidRPr="009246FF" w14:paraId="2045056D" w14:textId="77777777" w:rsidTr="0051499C">
              <w:trPr>
                <w:trHeight w:val="361"/>
              </w:trPr>
              <w:tc>
                <w:tcPr>
                  <w:tcW w:w="1446" w:type="dxa"/>
                  <w:vMerge/>
                </w:tcPr>
                <w:p w14:paraId="6906D83C" w14:textId="77777777" w:rsidR="00AB462E" w:rsidRPr="009246FF" w:rsidRDefault="00AB462E" w:rsidP="001B5159">
                  <w:pPr>
                    <w:pStyle w:val="NoSpacing"/>
                    <w:rPr>
                      <w:rFonts w:ascii="Arial" w:hAnsi="Arial" w:cs="Arial"/>
                      <w:b/>
                      <w:bCs/>
                    </w:rPr>
                  </w:pPr>
                </w:p>
              </w:tc>
              <w:tc>
                <w:tcPr>
                  <w:tcW w:w="4536" w:type="dxa"/>
                </w:tcPr>
                <w:p w14:paraId="46A266B7" w14:textId="139E3E2E" w:rsidR="00AB462E" w:rsidRPr="009246FF" w:rsidRDefault="00AB462E" w:rsidP="00AB462E">
                  <w:pPr>
                    <w:jc w:val="both"/>
                    <w:rPr>
                      <w:rFonts w:ascii="Arial" w:hAnsi="Arial" w:cs="Arial"/>
                      <w:b/>
                      <w:bCs/>
                    </w:rPr>
                  </w:pPr>
                  <w:r w:rsidRPr="009246FF">
                    <w:rPr>
                      <w:rFonts w:ascii="Arial" w:hAnsi="Arial" w:cs="Arial"/>
                    </w:rPr>
                    <w:t xml:space="preserve">Molinia meadows on calcareous, </w:t>
                  </w:r>
                  <w:proofErr w:type="gramStart"/>
                  <w:r w:rsidRPr="009246FF">
                    <w:rPr>
                      <w:rFonts w:ascii="Arial" w:hAnsi="Arial" w:cs="Arial"/>
                    </w:rPr>
                    <w:t>peaty</w:t>
                  </w:r>
                  <w:proofErr w:type="gramEnd"/>
                  <w:r w:rsidRPr="009246FF">
                    <w:rPr>
                      <w:rFonts w:ascii="Arial" w:hAnsi="Arial" w:cs="Arial"/>
                    </w:rPr>
                    <w:t xml:space="preserve"> or clayey-silt-laden soil (6410)</w:t>
                  </w:r>
                  <w:r w:rsidRPr="009246FF">
                    <w:rPr>
                      <w:rFonts w:ascii="Arial" w:hAnsi="Arial" w:cs="Arial"/>
                      <w:b/>
                      <w:bCs/>
                    </w:rPr>
                    <w:t xml:space="preserve"> M</w:t>
                  </w:r>
                </w:p>
              </w:tc>
              <w:tc>
                <w:tcPr>
                  <w:tcW w:w="874" w:type="dxa"/>
                </w:tcPr>
                <w:p w14:paraId="5F4B4A0D" w14:textId="72DF4A0A" w:rsidR="00AB462E" w:rsidRPr="009246FF" w:rsidRDefault="00AB462E" w:rsidP="00AB462E">
                  <w:pPr>
                    <w:jc w:val="both"/>
                    <w:rPr>
                      <w:rFonts w:ascii="Arial" w:hAnsi="Arial" w:cs="Arial"/>
                      <w:lang w:val="en-US"/>
                    </w:rPr>
                  </w:pPr>
                  <w:r w:rsidRPr="009246FF">
                    <w:rPr>
                      <w:rFonts w:ascii="Arial" w:hAnsi="Arial" w:cs="Arial"/>
                      <w:lang w:val="en-US"/>
                    </w:rPr>
                    <w:t>N</w:t>
                  </w:r>
                </w:p>
              </w:tc>
              <w:tc>
                <w:tcPr>
                  <w:tcW w:w="851" w:type="dxa"/>
                </w:tcPr>
                <w:p w14:paraId="53A7B86D" w14:textId="71377479" w:rsidR="00AB462E" w:rsidRPr="009246FF" w:rsidRDefault="00AB462E" w:rsidP="00AB462E">
                  <w:pPr>
                    <w:jc w:val="both"/>
                    <w:rPr>
                      <w:rFonts w:ascii="Arial" w:hAnsi="Arial" w:cs="Arial"/>
                      <w:lang w:val="en-US"/>
                    </w:rPr>
                  </w:pPr>
                  <w:r w:rsidRPr="009246FF">
                    <w:rPr>
                      <w:rFonts w:ascii="Arial" w:hAnsi="Arial" w:cs="Arial"/>
                      <w:lang w:val="en-US"/>
                    </w:rPr>
                    <w:t>N</w:t>
                  </w:r>
                </w:p>
                <w:p w14:paraId="6664D12D" w14:textId="266FB430" w:rsidR="00AB462E" w:rsidRPr="009246FF" w:rsidRDefault="00AB462E" w:rsidP="00AB462E">
                  <w:pPr>
                    <w:jc w:val="both"/>
                    <w:rPr>
                      <w:rFonts w:ascii="Arial" w:hAnsi="Arial" w:cs="Arial"/>
                      <w:lang w:val="en-US"/>
                    </w:rPr>
                  </w:pPr>
                </w:p>
              </w:tc>
              <w:tc>
                <w:tcPr>
                  <w:tcW w:w="1107" w:type="dxa"/>
                </w:tcPr>
                <w:p w14:paraId="444B41F8" w14:textId="4BA8DBD4" w:rsidR="00AB462E" w:rsidRPr="009246FF" w:rsidRDefault="00AB462E" w:rsidP="00AB462E">
                  <w:pPr>
                    <w:jc w:val="both"/>
                    <w:rPr>
                      <w:rFonts w:ascii="Arial" w:hAnsi="Arial" w:cs="Arial"/>
                      <w:lang w:val="en-US"/>
                    </w:rPr>
                  </w:pPr>
                  <w:r w:rsidRPr="009246FF">
                    <w:rPr>
                      <w:rFonts w:ascii="Arial" w:hAnsi="Arial" w:cs="Arial"/>
                      <w:lang w:val="en-US"/>
                    </w:rPr>
                    <w:t>N</w:t>
                  </w:r>
                </w:p>
                <w:p w14:paraId="44B9A03C" w14:textId="26605461" w:rsidR="00AB462E" w:rsidRPr="009246FF" w:rsidRDefault="00AB462E" w:rsidP="00AB462E">
                  <w:pPr>
                    <w:jc w:val="both"/>
                    <w:rPr>
                      <w:rFonts w:ascii="Arial" w:hAnsi="Arial" w:cs="Arial"/>
                      <w:lang w:val="en-US"/>
                    </w:rPr>
                  </w:pPr>
                </w:p>
              </w:tc>
            </w:tr>
            <w:tr w:rsidR="00AB462E" w:rsidRPr="009246FF" w14:paraId="44F78C0D" w14:textId="77777777" w:rsidTr="0051499C">
              <w:trPr>
                <w:trHeight w:val="241"/>
              </w:trPr>
              <w:tc>
                <w:tcPr>
                  <w:tcW w:w="1446" w:type="dxa"/>
                  <w:vMerge/>
                </w:tcPr>
                <w:p w14:paraId="7B1B3E47" w14:textId="77777777" w:rsidR="00AB462E" w:rsidRPr="009246FF" w:rsidRDefault="00AB462E" w:rsidP="001B5159">
                  <w:pPr>
                    <w:pStyle w:val="NoSpacing"/>
                    <w:rPr>
                      <w:rFonts w:ascii="Arial" w:hAnsi="Arial" w:cs="Arial"/>
                      <w:b/>
                      <w:bCs/>
                    </w:rPr>
                  </w:pPr>
                </w:p>
              </w:tc>
              <w:tc>
                <w:tcPr>
                  <w:tcW w:w="4536" w:type="dxa"/>
                </w:tcPr>
                <w:p w14:paraId="5F311889" w14:textId="16773DF1" w:rsidR="00AB462E" w:rsidRPr="009246FF" w:rsidRDefault="00AB462E" w:rsidP="00AB462E">
                  <w:pPr>
                    <w:jc w:val="both"/>
                    <w:rPr>
                      <w:rFonts w:ascii="Arial" w:hAnsi="Arial" w:cs="Arial"/>
                      <w:b/>
                      <w:bCs/>
                    </w:rPr>
                  </w:pPr>
                  <w:r w:rsidRPr="009246FF">
                    <w:rPr>
                      <w:rFonts w:ascii="Arial" w:hAnsi="Arial" w:cs="Arial"/>
                    </w:rPr>
                    <w:t xml:space="preserve">Alluvial forests (91E0) </w:t>
                  </w:r>
                  <w:r w:rsidRPr="009246FF">
                    <w:rPr>
                      <w:rFonts w:ascii="Arial" w:hAnsi="Arial" w:cs="Arial"/>
                      <w:b/>
                      <w:bCs/>
                    </w:rPr>
                    <w:t>M</w:t>
                  </w:r>
                </w:p>
              </w:tc>
              <w:tc>
                <w:tcPr>
                  <w:tcW w:w="874" w:type="dxa"/>
                </w:tcPr>
                <w:p w14:paraId="79872B97" w14:textId="5891D6E4" w:rsidR="00AB462E" w:rsidRPr="009246FF" w:rsidRDefault="00AB462E" w:rsidP="00AB462E">
                  <w:pPr>
                    <w:jc w:val="both"/>
                    <w:rPr>
                      <w:rFonts w:ascii="Arial" w:hAnsi="Arial" w:cs="Arial"/>
                      <w:lang w:val="en-US"/>
                    </w:rPr>
                  </w:pPr>
                  <w:r w:rsidRPr="009246FF">
                    <w:rPr>
                      <w:rFonts w:ascii="Arial" w:hAnsi="Arial" w:cs="Arial"/>
                      <w:lang w:val="en-US"/>
                    </w:rPr>
                    <w:t>N</w:t>
                  </w:r>
                </w:p>
              </w:tc>
              <w:tc>
                <w:tcPr>
                  <w:tcW w:w="851" w:type="dxa"/>
                </w:tcPr>
                <w:p w14:paraId="51A0284E" w14:textId="78DDB3ED" w:rsidR="00AB462E" w:rsidRPr="009246FF" w:rsidRDefault="00AB462E" w:rsidP="00AB462E">
                  <w:pPr>
                    <w:jc w:val="both"/>
                    <w:rPr>
                      <w:rFonts w:ascii="Arial" w:hAnsi="Arial" w:cs="Arial"/>
                      <w:lang w:val="en-US"/>
                    </w:rPr>
                  </w:pPr>
                  <w:r w:rsidRPr="009246FF">
                    <w:rPr>
                      <w:rFonts w:ascii="Arial" w:hAnsi="Arial" w:cs="Arial"/>
                      <w:lang w:val="en-US"/>
                    </w:rPr>
                    <w:t>N</w:t>
                  </w:r>
                </w:p>
              </w:tc>
              <w:tc>
                <w:tcPr>
                  <w:tcW w:w="1107" w:type="dxa"/>
                </w:tcPr>
                <w:p w14:paraId="08371A45" w14:textId="0DDDC39D" w:rsidR="00AB462E" w:rsidRPr="009246FF" w:rsidRDefault="00AB462E" w:rsidP="00AB462E">
                  <w:pPr>
                    <w:jc w:val="both"/>
                    <w:rPr>
                      <w:rFonts w:ascii="Arial" w:hAnsi="Arial" w:cs="Arial"/>
                      <w:lang w:val="en-US"/>
                    </w:rPr>
                  </w:pPr>
                  <w:r w:rsidRPr="009246FF">
                    <w:rPr>
                      <w:rFonts w:ascii="Arial" w:hAnsi="Arial" w:cs="Arial"/>
                      <w:lang w:val="en-US"/>
                    </w:rPr>
                    <w:t>N</w:t>
                  </w:r>
                </w:p>
              </w:tc>
            </w:tr>
            <w:tr w:rsidR="00AB462E" w:rsidRPr="009246FF" w14:paraId="0EB8AAB6" w14:textId="77777777" w:rsidTr="0051499C">
              <w:trPr>
                <w:trHeight w:val="529"/>
              </w:trPr>
              <w:tc>
                <w:tcPr>
                  <w:tcW w:w="1446" w:type="dxa"/>
                  <w:vMerge/>
                </w:tcPr>
                <w:p w14:paraId="7EBD470B" w14:textId="77777777" w:rsidR="00AB462E" w:rsidRPr="009246FF" w:rsidRDefault="00AB462E" w:rsidP="001B5159">
                  <w:pPr>
                    <w:pStyle w:val="NoSpacing"/>
                    <w:rPr>
                      <w:rFonts w:ascii="Arial" w:hAnsi="Arial" w:cs="Arial"/>
                      <w:b/>
                      <w:bCs/>
                    </w:rPr>
                  </w:pPr>
                </w:p>
              </w:tc>
              <w:tc>
                <w:tcPr>
                  <w:tcW w:w="4536" w:type="dxa"/>
                </w:tcPr>
                <w:p w14:paraId="3E5B6BF4" w14:textId="4E5A8E3D" w:rsidR="00AB462E" w:rsidRPr="00A34008" w:rsidRDefault="00AB462E" w:rsidP="00AB462E">
                  <w:pPr>
                    <w:jc w:val="both"/>
                    <w:rPr>
                      <w:rFonts w:ascii="Arial" w:hAnsi="Arial" w:cs="Arial"/>
                      <w:b/>
                      <w:bCs/>
                      <w:lang w:val="it-IT"/>
                    </w:rPr>
                  </w:pPr>
                  <w:r w:rsidRPr="00A34008">
                    <w:rPr>
                      <w:rFonts w:ascii="Arial" w:hAnsi="Arial" w:cs="Arial"/>
                      <w:lang w:val="it-IT"/>
                    </w:rPr>
                    <w:t>Freshwater Pearl Mussel Margaritifera margaritifera (1029)</w:t>
                  </w:r>
                  <w:r w:rsidRPr="00A34008">
                    <w:rPr>
                      <w:rFonts w:ascii="Arial" w:hAnsi="Arial" w:cs="Arial"/>
                      <w:b/>
                      <w:bCs/>
                      <w:lang w:val="it-IT"/>
                    </w:rPr>
                    <w:t xml:space="preserve"> R</w:t>
                  </w:r>
                </w:p>
              </w:tc>
              <w:tc>
                <w:tcPr>
                  <w:tcW w:w="874" w:type="dxa"/>
                </w:tcPr>
                <w:p w14:paraId="1EF30752" w14:textId="4F8A538D" w:rsidR="00AB462E" w:rsidRPr="009246FF" w:rsidRDefault="00AB462E" w:rsidP="00AB462E">
                  <w:pPr>
                    <w:jc w:val="both"/>
                    <w:rPr>
                      <w:rFonts w:ascii="Arial" w:hAnsi="Arial" w:cs="Arial"/>
                      <w:lang w:val="en-US"/>
                    </w:rPr>
                  </w:pPr>
                  <w:r w:rsidRPr="009246FF">
                    <w:rPr>
                      <w:rFonts w:ascii="Arial" w:hAnsi="Arial" w:cs="Arial"/>
                      <w:lang w:val="en-US"/>
                    </w:rPr>
                    <w:t>N</w:t>
                  </w:r>
                </w:p>
                <w:p w14:paraId="54494C53" w14:textId="33456E13" w:rsidR="00AB462E" w:rsidRPr="009246FF" w:rsidRDefault="00AB462E" w:rsidP="00AB462E">
                  <w:pPr>
                    <w:jc w:val="both"/>
                    <w:rPr>
                      <w:rFonts w:ascii="Arial" w:hAnsi="Arial" w:cs="Arial"/>
                      <w:lang w:val="en-US"/>
                    </w:rPr>
                  </w:pPr>
                </w:p>
              </w:tc>
              <w:tc>
                <w:tcPr>
                  <w:tcW w:w="851" w:type="dxa"/>
                </w:tcPr>
                <w:p w14:paraId="1B020072" w14:textId="174D2C2B" w:rsidR="00AB462E" w:rsidRPr="009246FF" w:rsidRDefault="00AB462E" w:rsidP="00AB462E">
                  <w:pPr>
                    <w:jc w:val="both"/>
                    <w:rPr>
                      <w:rFonts w:ascii="Arial" w:hAnsi="Arial" w:cs="Arial"/>
                      <w:lang w:val="en-US"/>
                    </w:rPr>
                  </w:pPr>
                  <w:r w:rsidRPr="009246FF">
                    <w:rPr>
                      <w:rFonts w:ascii="Arial" w:hAnsi="Arial" w:cs="Arial"/>
                      <w:lang w:val="en-US"/>
                    </w:rPr>
                    <w:t>N</w:t>
                  </w:r>
                </w:p>
              </w:tc>
              <w:tc>
                <w:tcPr>
                  <w:tcW w:w="1107" w:type="dxa"/>
                </w:tcPr>
                <w:p w14:paraId="13BFD04A" w14:textId="27D8DFE4" w:rsidR="00AB462E" w:rsidRPr="009246FF" w:rsidRDefault="00AB462E" w:rsidP="00AB462E">
                  <w:pPr>
                    <w:jc w:val="both"/>
                    <w:rPr>
                      <w:rFonts w:ascii="Arial" w:hAnsi="Arial" w:cs="Arial"/>
                      <w:lang w:val="en-US"/>
                    </w:rPr>
                  </w:pPr>
                  <w:r w:rsidRPr="009246FF">
                    <w:rPr>
                      <w:rFonts w:ascii="Arial" w:hAnsi="Arial" w:cs="Arial"/>
                      <w:lang w:val="en-US"/>
                    </w:rPr>
                    <w:t>N</w:t>
                  </w:r>
                </w:p>
                <w:p w14:paraId="36D7C54B" w14:textId="3F5676B9" w:rsidR="00AB462E" w:rsidRPr="009246FF" w:rsidRDefault="00AB462E" w:rsidP="00AB462E">
                  <w:pPr>
                    <w:jc w:val="both"/>
                    <w:rPr>
                      <w:rFonts w:ascii="Arial" w:hAnsi="Arial" w:cs="Arial"/>
                      <w:lang w:val="en-US"/>
                    </w:rPr>
                  </w:pPr>
                </w:p>
              </w:tc>
            </w:tr>
            <w:tr w:rsidR="00AB462E" w:rsidRPr="009246FF" w14:paraId="67AD9E33" w14:textId="77777777" w:rsidTr="0051499C">
              <w:trPr>
                <w:trHeight w:val="97"/>
              </w:trPr>
              <w:tc>
                <w:tcPr>
                  <w:tcW w:w="1446" w:type="dxa"/>
                  <w:vMerge/>
                </w:tcPr>
                <w:p w14:paraId="141856C5" w14:textId="77777777" w:rsidR="00AB462E" w:rsidRPr="009246FF" w:rsidRDefault="00AB462E" w:rsidP="001B5159">
                  <w:pPr>
                    <w:pStyle w:val="NoSpacing"/>
                    <w:rPr>
                      <w:rFonts w:ascii="Arial" w:hAnsi="Arial" w:cs="Arial"/>
                      <w:b/>
                      <w:bCs/>
                    </w:rPr>
                  </w:pPr>
                </w:p>
              </w:tc>
              <w:tc>
                <w:tcPr>
                  <w:tcW w:w="4536" w:type="dxa"/>
                </w:tcPr>
                <w:p w14:paraId="04C587C2" w14:textId="64E505B4" w:rsidR="00AB462E" w:rsidRPr="009246FF" w:rsidRDefault="00AB462E" w:rsidP="00AB462E">
                  <w:pPr>
                    <w:jc w:val="both"/>
                    <w:rPr>
                      <w:rFonts w:ascii="Arial" w:hAnsi="Arial" w:cs="Arial"/>
                      <w:b/>
                      <w:bCs/>
                    </w:rPr>
                  </w:pPr>
                  <w:r w:rsidRPr="009246FF">
                    <w:rPr>
                      <w:rFonts w:ascii="Arial" w:hAnsi="Arial" w:cs="Arial"/>
                    </w:rPr>
                    <w:t xml:space="preserve">Sea Lamprey Petromyzon marinus (1095) </w:t>
                  </w:r>
                  <w:r w:rsidRPr="009246FF">
                    <w:rPr>
                      <w:rFonts w:ascii="Arial" w:hAnsi="Arial" w:cs="Arial"/>
                      <w:b/>
                      <w:bCs/>
                    </w:rPr>
                    <w:t>R</w:t>
                  </w:r>
                </w:p>
              </w:tc>
              <w:tc>
                <w:tcPr>
                  <w:tcW w:w="874" w:type="dxa"/>
                </w:tcPr>
                <w:p w14:paraId="28F5C155" w14:textId="63CE42C3" w:rsidR="00AB462E" w:rsidRPr="009246FF" w:rsidRDefault="00AB462E" w:rsidP="00AB462E">
                  <w:pPr>
                    <w:jc w:val="both"/>
                    <w:rPr>
                      <w:rFonts w:ascii="Arial" w:hAnsi="Arial" w:cs="Arial"/>
                      <w:lang w:val="en-US"/>
                    </w:rPr>
                  </w:pPr>
                  <w:r w:rsidRPr="009246FF">
                    <w:rPr>
                      <w:rFonts w:ascii="Arial" w:hAnsi="Arial" w:cs="Arial"/>
                      <w:lang w:val="en-US"/>
                    </w:rPr>
                    <w:t>Y</w:t>
                  </w:r>
                </w:p>
              </w:tc>
              <w:tc>
                <w:tcPr>
                  <w:tcW w:w="851" w:type="dxa"/>
                </w:tcPr>
                <w:p w14:paraId="77069D46" w14:textId="69E91DE0" w:rsidR="00AB462E" w:rsidRPr="009246FF" w:rsidRDefault="00AB462E" w:rsidP="00AB462E">
                  <w:pPr>
                    <w:jc w:val="both"/>
                    <w:rPr>
                      <w:rFonts w:ascii="Arial" w:hAnsi="Arial" w:cs="Arial"/>
                      <w:lang w:val="en-US"/>
                    </w:rPr>
                  </w:pPr>
                  <w:r w:rsidRPr="009246FF">
                    <w:rPr>
                      <w:rFonts w:ascii="Arial" w:hAnsi="Arial" w:cs="Arial"/>
                      <w:lang w:val="en-US"/>
                    </w:rPr>
                    <w:t>N</w:t>
                  </w:r>
                </w:p>
              </w:tc>
              <w:tc>
                <w:tcPr>
                  <w:tcW w:w="1107" w:type="dxa"/>
                </w:tcPr>
                <w:p w14:paraId="53CC823F" w14:textId="207228C7" w:rsidR="00AB462E" w:rsidRPr="009246FF" w:rsidRDefault="00AB462E" w:rsidP="00AB462E">
                  <w:pPr>
                    <w:jc w:val="both"/>
                    <w:rPr>
                      <w:rFonts w:ascii="Arial" w:hAnsi="Arial" w:cs="Arial"/>
                      <w:lang w:val="en-US"/>
                    </w:rPr>
                  </w:pPr>
                  <w:r w:rsidRPr="009246FF">
                    <w:rPr>
                      <w:rFonts w:ascii="Arial" w:hAnsi="Arial" w:cs="Arial"/>
                      <w:lang w:val="en-US"/>
                    </w:rPr>
                    <w:t>N</w:t>
                  </w:r>
                </w:p>
              </w:tc>
            </w:tr>
            <w:tr w:rsidR="00AB462E" w:rsidRPr="009246FF" w14:paraId="6F168E3E" w14:textId="77777777" w:rsidTr="0051499C">
              <w:trPr>
                <w:trHeight w:val="165"/>
              </w:trPr>
              <w:tc>
                <w:tcPr>
                  <w:tcW w:w="1446" w:type="dxa"/>
                  <w:vMerge/>
                </w:tcPr>
                <w:p w14:paraId="5A6C49D8" w14:textId="77777777" w:rsidR="00AB462E" w:rsidRPr="009246FF" w:rsidRDefault="00AB462E" w:rsidP="001B5159">
                  <w:pPr>
                    <w:pStyle w:val="NoSpacing"/>
                    <w:rPr>
                      <w:rFonts w:ascii="Arial" w:hAnsi="Arial" w:cs="Arial"/>
                      <w:b/>
                      <w:bCs/>
                    </w:rPr>
                  </w:pPr>
                </w:p>
              </w:tc>
              <w:tc>
                <w:tcPr>
                  <w:tcW w:w="4536" w:type="dxa"/>
                </w:tcPr>
                <w:p w14:paraId="0759D8BC" w14:textId="5E52916F" w:rsidR="00AB462E" w:rsidRPr="009246FF" w:rsidRDefault="00AB462E" w:rsidP="00AB462E">
                  <w:pPr>
                    <w:jc w:val="both"/>
                    <w:rPr>
                      <w:rFonts w:ascii="Arial" w:hAnsi="Arial" w:cs="Arial"/>
                      <w:b/>
                      <w:bCs/>
                    </w:rPr>
                  </w:pPr>
                  <w:r w:rsidRPr="009246FF">
                    <w:rPr>
                      <w:rFonts w:ascii="Arial" w:hAnsi="Arial" w:cs="Arial"/>
                    </w:rPr>
                    <w:t>Brook Lamprey Lampetra planeri (1096)</w:t>
                  </w:r>
                  <w:r w:rsidRPr="009246FF">
                    <w:rPr>
                      <w:rFonts w:ascii="Arial" w:hAnsi="Arial" w:cs="Arial"/>
                      <w:b/>
                      <w:bCs/>
                    </w:rPr>
                    <w:t xml:space="preserve"> M</w:t>
                  </w:r>
                </w:p>
              </w:tc>
              <w:tc>
                <w:tcPr>
                  <w:tcW w:w="874" w:type="dxa"/>
                </w:tcPr>
                <w:p w14:paraId="1CDC620A" w14:textId="0A701401" w:rsidR="00AB462E" w:rsidRPr="009246FF" w:rsidRDefault="00AB462E" w:rsidP="00AB462E">
                  <w:pPr>
                    <w:jc w:val="both"/>
                    <w:rPr>
                      <w:rFonts w:ascii="Arial" w:hAnsi="Arial" w:cs="Arial"/>
                      <w:lang w:val="en-US"/>
                    </w:rPr>
                  </w:pPr>
                  <w:r w:rsidRPr="009246FF">
                    <w:rPr>
                      <w:rFonts w:ascii="Arial" w:hAnsi="Arial" w:cs="Arial"/>
                      <w:lang w:val="en-US"/>
                    </w:rPr>
                    <w:t>Y</w:t>
                  </w:r>
                </w:p>
              </w:tc>
              <w:tc>
                <w:tcPr>
                  <w:tcW w:w="851" w:type="dxa"/>
                </w:tcPr>
                <w:p w14:paraId="4DA9E6E2" w14:textId="71FB7379" w:rsidR="00AB462E" w:rsidRPr="009246FF" w:rsidRDefault="00AB462E" w:rsidP="00AB462E">
                  <w:pPr>
                    <w:jc w:val="both"/>
                    <w:rPr>
                      <w:rFonts w:ascii="Arial" w:hAnsi="Arial" w:cs="Arial"/>
                      <w:lang w:val="en-US"/>
                    </w:rPr>
                  </w:pPr>
                  <w:r w:rsidRPr="009246FF">
                    <w:rPr>
                      <w:rFonts w:ascii="Arial" w:hAnsi="Arial" w:cs="Arial"/>
                      <w:lang w:val="en-US"/>
                    </w:rPr>
                    <w:t>N</w:t>
                  </w:r>
                </w:p>
              </w:tc>
              <w:tc>
                <w:tcPr>
                  <w:tcW w:w="1107" w:type="dxa"/>
                </w:tcPr>
                <w:p w14:paraId="0A0B505C" w14:textId="2944DA29" w:rsidR="00AB462E" w:rsidRPr="009246FF" w:rsidRDefault="00AB462E" w:rsidP="00AB462E">
                  <w:pPr>
                    <w:jc w:val="both"/>
                    <w:rPr>
                      <w:rFonts w:ascii="Arial" w:hAnsi="Arial" w:cs="Arial"/>
                      <w:lang w:val="en-US"/>
                    </w:rPr>
                  </w:pPr>
                  <w:r w:rsidRPr="009246FF">
                    <w:rPr>
                      <w:rFonts w:ascii="Arial" w:hAnsi="Arial" w:cs="Arial"/>
                      <w:lang w:val="en-US"/>
                    </w:rPr>
                    <w:t>N</w:t>
                  </w:r>
                </w:p>
              </w:tc>
            </w:tr>
            <w:tr w:rsidR="000670C0" w:rsidRPr="009246FF" w14:paraId="79601A43" w14:textId="77777777" w:rsidTr="0051499C">
              <w:trPr>
                <w:trHeight w:val="333"/>
              </w:trPr>
              <w:tc>
                <w:tcPr>
                  <w:tcW w:w="1446" w:type="dxa"/>
                  <w:vMerge/>
                </w:tcPr>
                <w:p w14:paraId="1B6981F4" w14:textId="77777777" w:rsidR="000670C0" w:rsidRPr="009246FF" w:rsidRDefault="000670C0" w:rsidP="001B5159">
                  <w:pPr>
                    <w:pStyle w:val="NoSpacing"/>
                    <w:rPr>
                      <w:rFonts w:ascii="Arial" w:hAnsi="Arial" w:cs="Arial"/>
                      <w:b/>
                      <w:bCs/>
                    </w:rPr>
                  </w:pPr>
                </w:p>
              </w:tc>
              <w:tc>
                <w:tcPr>
                  <w:tcW w:w="4536" w:type="dxa"/>
                </w:tcPr>
                <w:p w14:paraId="39AB3233" w14:textId="72E5C97C" w:rsidR="000670C0" w:rsidRPr="00A34008" w:rsidRDefault="000670C0" w:rsidP="000670C0">
                  <w:pPr>
                    <w:jc w:val="both"/>
                    <w:rPr>
                      <w:rFonts w:ascii="Arial" w:hAnsi="Arial" w:cs="Arial"/>
                      <w:b/>
                      <w:bCs/>
                      <w:lang w:val="it-IT"/>
                    </w:rPr>
                  </w:pPr>
                  <w:r w:rsidRPr="00A34008">
                    <w:rPr>
                      <w:rFonts w:ascii="Arial" w:hAnsi="Arial" w:cs="Arial"/>
                      <w:lang w:val="it-IT"/>
                    </w:rPr>
                    <w:t>River Lamprey Lampetra fluviatilis (1099)</w:t>
                  </w:r>
                  <w:r w:rsidRPr="00A34008">
                    <w:rPr>
                      <w:rFonts w:ascii="Arial" w:hAnsi="Arial" w:cs="Arial"/>
                      <w:b/>
                      <w:bCs/>
                      <w:lang w:val="it-IT"/>
                    </w:rPr>
                    <w:t xml:space="preserve"> M</w:t>
                  </w:r>
                </w:p>
              </w:tc>
              <w:tc>
                <w:tcPr>
                  <w:tcW w:w="874" w:type="dxa"/>
                </w:tcPr>
                <w:p w14:paraId="77B1B015" w14:textId="0651EC5F" w:rsidR="000670C0" w:rsidRPr="009246FF" w:rsidRDefault="000670C0" w:rsidP="000670C0">
                  <w:pPr>
                    <w:jc w:val="both"/>
                    <w:rPr>
                      <w:rFonts w:ascii="Arial" w:hAnsi="Arial" w:cs="Arial"/>
                      <w:lang w:val="en-US"/>
                    </w:rPr>
                  </w:pPr>
                  <w:r w:rsidRPr="009246FF">
                    <w:rPr>
                      <w:rFonts w:ascii="Arial" w:hAnsi="Arial" w:cs="Arial"/>
                      <w:lang w:val="en-US"/>
                    </w:rPr>
                    <w:t>Y</w:t>
                  </w:r>
                </w:p>
              </w:tc>
              <w:tc>
                <w:tcPr>
                  <w:tcW w:w="851" w:type="dxa"/>
                </w:tcPr>
                <w:p w14:paraId="76BD027F" w14:textId="58FA55E3" w:rsidR="000670C0" w:rsidRPr="009246FF" w:rsidRDefault="000670C0" w:rsidP="000670C0">
                  <w:pPr>
                    <w:jc w:val="both"/>
                    <w:rPr>
                      <w:rFonts w:ascii="Arial" w:hAnsi="Arial" w:cs="Arial"/>
                      <w:lang w:val="en-US"/>
                    </w:rPr>
                  </w:pPr>
                  <w:r w:rsidRPr="009246FF">
                    <w:rPr>
                      <w:rFonts w:ascii="Arial" w:hAnsi="Arial" w:cs="Arial"/>
                      <w:lang w:val="en-US"/>
                    </w:rPr>
                    <w:t>N</w:t>
                  </w:r>
                </w:p>
              </w:tc>
              <w:tc>
                <w:tcPr>
                  <w:tcW w:w="1107" w:type="dxa"/>
                </w:tcPr>
                <w:p w14:paraId="4C15BF7E" w14:textId="59E68B04" w:rsidR="000670C0" w:rsidRPr="009246FF" w:rsidRDefault="000670C0" w:rsidP="000670C0">
                  <w:pPr>
                    <w:jc w:val="both"/>
                    <w:rPr>
                      <w:rFonts w:ascii="Arial" w:hAnsi="Arial" w:cs="Arial"/>
                      <w:lang w:val="en-US"/>
                    </w:rPr>
                  </w:pPr>
                  <w:r w:rsidRPr="009246FF">
                    <w:rPr>
                      <w:rFonts w:ascii="Arial" w:hAnsi="Arial" w:cs="Arial"/>
                      <w:lang w:val="en-US"/>
                    </w:rPr>
                    <w:t>N</w:t>
                  </w:r>
                </w:p>
              </w:tc>
            </w:tr>
            <w:tr w:rsidR="000670C0" w:rsidRPr="009246FF" w14:paraId="7D82296D" w14:textId="77777777" w:rsidTr="0051499C">
              <w:trPr>
                <w:trHeight w:val="365"/>
              </w:trPr>
              <w:tc>
                <w:tcPr>
                  <w:tcW w:w="1446" w:type="dxa"/>
                  <w:vMerge/>
                </w:tcPr>
                <w:p w14:paraId="548B3C3B" w14:textId="77777777" w:rsidR="000670C0" w:rsidRPr="009246FF" w:rsidRDefault="000670C0" w:rsidP="001B5159">
                  <w:pPr>
                    <w:pStyle w:val="NoSpacing"/>
                    <w:rPr>
                      <w:rFonts w:ascii="Arial" w:hAnsi="Arial" w:cs="Arial"/>
                      <w:b/>
                      <w:bCs/>
                    </w:rPr>
                  </w:pPr>
                </w:p>
              </w:tc>
              <w:tc>
                <w:tcPr>
                  <w:tcW w:w="4536" w:type="dxa"/>
                </w:tcPr>
                <w:p w14:paraId="7C9285F6" w14:textId="216E154A" w:rsidR="000670C0" w:rsidRPr="009246FF" w:rsidRDefault="000670C0" w:rsidP="000670C0">
                  <w:pPr>
                    <w:jc w:val="both"/>
                    <w:rPr>
                      <w:rFonts w:ascii="Arial" w:hAnsi="Arial" w:cs="Arial"/>
                      <w:b/>
                      <w:bCs/>
                    </w:rPr>
                  </w:pPr>
                  <w:r w:rsidRPr="009246FF">
                    <w:rPr>
                      <w:rFonts w:ascii="Arial" w:hAnsi="Arial" w:cs="Arial"/>
                    </w:rPr>
                    <w:t xml:space="preserve">Atlantic Salmon (fresh water) Salmo salar (1106) </w:t>
                  </w:r>
                  <w:r w:rsidRPr="009246FF">
                    <w:rPr>
                      <w:rFonts w:ascii="Arial" w:hAnsi="Arial" w:cs="Arial"/>
                      <w:b/>
                      <w:bCs/>
                    </w:rPr>
                    <w:t>R</w:t>
                  </w:r>
                </w:p>
              </w:tc>
              <w:tc>
                <w:tcPr>
                  <w:tcW w:w="874" w:type="dxa"/>
                </w:tcPr>
                <w:p w14:paraId="67DFA029" w14:textId="2066988C" w:rsidR="000670C0" w:rsidRPr="009246FF" w:rsidRDefault="000670C0" w:rsidP="000670C0">
                  <w:pPr>
                    <w:jc w:val="both"/>
                    <w:rPr>
                      <w:rFonts w:ascii="Arial" w:hAnsi="Arial" w:cs="Arial"/>
                      <w:lang w:val="en-US"/>
                    </w:rPr>
                  </w:pPr>
                  <w:r w:rsidRPr="009246FF">
                    <w:rPr>
                      <w:rFonts w:ascii="Arial" w:hAnsi="Arial" w:cs="Arial"/>
                      <w:lang w:val="en-US"/>
                    </w:rPr>
                    <w:t>Y</w:t>
                  </w:r>
                </w:p>
                <w:p w14:paraId="1C2A291A" w14:textId="7B754BD4" w:rsidR="000670C0" w:rsidRPr="009246FF" w:rsidRDefault="000670C0" w:rsidP="000670C0">
                  <w:pPr>
                    <w:jc w:val="both"/>
                    <w:rPr>
                      <w:rFonts w:ascii="Arial" w:hAnsi="Arial" w:cs="Arial"/>
                      <w:lang w:val="en-US"/>
                    </w:rPr>
                  </w:pPr>
                </w:p>
              </w:tc>
              <w:tc>
                <w:tcPr>
                  <w:tcW w:w="851" w:type="dxa"/>
                </w:tcPr>
                <w:p w14:paraId="7C10C222" w14:textId="227CB594" w:rsidR="000670C0" w:rsidRPr="009246FF" w:rsidRDefault="000670C0" w:rsidP="000670C0">
                  <w:pPr>
                    <w:jc w:val="both"/>
                    <w:rPr>
                      <w:rFonts w:ascii="Arial" w:hAnsi="Arial" w:cs="Arial"/>
                      <w:lang w:val="en-US"/>
                    </w:rPr>
                  </w:pPr>
                  <w:r w:rsidRPr="009246FF">
                    <w:rPr>
                      <w:rFonts w:ascii="Arial" w:hAnsi="Arial" w:cs="Arial"/>
                      <w:lang w:val="en-US"/>
                    </w:rPr>
                    <w:t>N</w:t>
                  </w:r>
                </w:p>
                <w:p w14:paraId="1877924E" w14:textId="00B2BAEA" w:rsidR="000670C0" w:rsidRPr="009246FF" w:rsidRDefault="000670C0" w:rsidP="000670C0">
                  <w:pPr>
                    <w:jc w:val="both"/>
                    <w:rPr>
                      <w:rFonts w:ascii="Arial" w:hAnsi="Arial" w:cs="Arial"/>
                      <w:lang w:val="en-US"/>
                    </w:rPr>
                  </w:pPr>
                </w:p>
              </w:tc>
              <w:tc>
                <w:tcPr>
                  <w:tcW w:w="1107" w:type="dxa"/>
                </w:tcPr>
                <w:p w14:paraId="3E34753B" w14:textId="31D33648" w:rsidR="000670C0" w:rsidRPr="009246FF" w:rsidRDefault="000670C0" w:rsidP="000670C0">
                  <w:pPr>
                    <w:jc w:val="both"/>
                    <w:rPr>
                      <w:rFonts w:ascii="Arial" w:hAnsi="Arial" w:cs="Arial"/>
                      <w:lang w:val="en-US"/>
                    </w:rPr>
                  </w:pPr>
                  <w:r w:rsidRPr="009246FF">
                    <w:rPr>
                      <w:rFonts w:ascii="Arial" w:hAnsi="Arial" w:cs="Arial"/>
                      <w:lang w:val="en-US"/>
                    </w:rPr>
                    <w:t>N</w:t>
                  </w:r>
                </w:p>
              </w:tc>
            </w:tr>
            <w:tr w:rsidR="000670C0" w:rsidRPr="009246FF" w14:paraId="5310EC1B" w14:textId="77777777" w:rsidTr="00155E70">
              <w:trPr>
                <w:trHeight w:val="387"/>
              </w:trPr>
              <w:tc>
                <w:tcPr>
                  <w:tcW w:w="1446" w:type="dxa"/>
                  <w:vMerge/>
                </w:tcPr>
                <w:p w14:paraId="3C42A31B" w14:textId="77777777" w:rsidR="000670C0" w:rsidRPr="009246FF" w:rsidRDefault="000670C0" w:rsidP="001B5159">
                  <w:pPr>
                    <w:pStyle w:val="NoSpacing"/>
                    <w:rPr>
                      <w:rFonts w:ascii="Arial" w:hAnsi="Arial" w:cs="Arial"/>
                      <w:b/>
                      <w:bCs/>
                    </w:rPr>
                  </w:pPr>
                </w:p>
              </w:tc>
              <w:tc>
                <w:tcPr>
                  <w:tcW w:w="4536" w:type="dxa"/>
                </w:tcPr>
                <w:p w14:paraId="6378297F" w14:textId="675A1DDA" w:rsidR="000670C0" w:rsidRPr="009246FF" w:rsidRDefault="000670C0" w:rsidP="000670C0">
                  <w:pPr>
                    <w:jc w:val="both"/>
                    <w:rPr>
                      <w:rFonts w:ascii="Arial" w:hAnsi="Arial" w:cs="Arial"/>
                      <w:b/>
                      <w:bCs/>
                    </w:rPr>
                  </w:pPr>
                  <w:r w:rsidRPr="009246FF">
                    <w:rPr>
                      <w:rFonts w:ascii="Arial" w:hAnsi="Arial" w:cs="Arial"/>
                    </w:rPr>
                    <w:t xml:space="preserve">Bottlenose Dolphin Tursiops </w:t>
                  </w:r>
                  <w:proofErr w:type="spellStart"/>
                  <w:r w:rsidRPr="009246FF">
                    <w:rPr>
                      <w:rFonts w:ascii="Arial" w:hAnsi="Arial" w:cs="Arial"/>
                    </w:rPr>
                    <w:t>truncatus</w:t>
                  </w:r>
                  <w:proofErr w:type="spellEnd"/>
                  <w:r w:rsidRPr="009246FF">
                    <w:rPr>
                      <w:rFonts w:ascii="Arial" w:hAnsi="Arial" w:cs="Arial"/>
                    </w:rPr>
                    <w:t xml:space="preserve"> (1349) </w:t>
                  </w:r>
                  <w:r w:rsidRPr="009246FF">
                    <w:rPr>
                      <w:rFonts w:ascii="Arial" w:hAnsi="Arial" w:cs="Arial"/>
                      <w:b/>
                      <w:bCs/>
                    </w:rPr>
                    <w:t>M</w:t>
                  </w:r>
                </w:p>
              </w:tc>
              <w:tc>
                <w:tcPr>
                  <w:tcW w:w="874" w:type="dxa"/>
                </w:tcPr>
                <w:p w14:paraId="77525CFC" w14:textId="74900E1F" w:rsidR="000670C0" w:rsidRPr="009246FF" w:rsidRDefault="000670C0" w:rsidP="000670C0">
                  <w:pPr>
                    <w:jc w:val="both"/>
                    <w:rPr>
                      <w:rFonts w:ascii="Arial" w:hAnsi="Arial" w:cs="Arial"/>
                      <w:lang w:val="en-US"/>
                    </w:rPr>
                  </w:pPr>
                  <w:r w:rsidRPr="009246FF">
                    <w:rPr>
                      <w:rFonts w:ascii="Arial" w:hAnsi="Arial" w:cs="Arial"/>
                      <w:lang w:val="en-US"/>
                    </w:rPr>
                    <w:t>Y</w:t>
                  </w:r>
                </w:p>
                <w:p w14:paraId="13DCD7D6" w14:textId="3D91F6FE" w:rsidR="000670C0" w:rsidRPr="009246FF" w:rsidRDefault="000670C0" w:rsidP="000670C0">
                  <w:pPr>
                    <w:jc w:val="both"/>
                    <w:rPr>
                      <w:rFonts w:ascii="Arial" w:hAnsi="Arial" w:cs="Arial"/>
                      <w:lang w:val="en-US"/>
                    </w:rPr>
                  </w:pPr>
                </w:p>
              </w:tc>
              <w:tc>
                <w:tcPr>
                  <w:tcW w:w="851" w:type="dxa"/>
                </w:tcPr>
                <w:p w14:paraId="1A50F965" w14:textId="4D67371F" w:rsidR="000670C0" w:rsidRPr="009246FF" w:rsidRDefault="000670C0" w:rsidP="000670C0">
                  <w:pPr>
                    <w:jc w:val="both"/>
                    <w:rPr>
                      <w:rFonts w:ascii="Arial" w:hAnsi="Arial" w:cs="Arial"/>
                      <w:lang w:val="en-US"/>
                    </w:rPr>
                  </w:pPr>
                  <w:r w:rsidRPr="009246FF">
                    <w:rPr>
                      <w:rFonts w:ascii="Arial" w:hAnsi="Arial" w:cs="Arial"/>
                      <w:lang w:val="en-US"/>
                    </w:rPr>
                    <w:t>N</w:t>
                  </w:r>
                </w:p>
              </w:tc>
              <w:tc>
                <w:tcPr>
                  <w:tcW w:w="1107" w:type="dxa"/>
                </w:tcPr>
                <w:p w14:paraId="2F7C6A90" w14:textId="1C3A9DCB" w:rsidR="000670C0" w:rsidRPr="009246FF" w:rsidRDefault="000670C0" w:rsidP="000670C0">
                  <w:pPr>
                    <w:jc w:val="both"/>
                    <w:rPr>
                      <w:rFonts w:ascii="Arial" w:hAnsi="Arial" w:cs="Arial"/>
                      <w:lang w:val="en-US"/>
                    </w:rPr>
                  </w:pPr>
                  <w:r w:rsidRPr="009246FF">
                    <w:rPr>
                      <w:rFonts w:ascii="Arial" w:hAnsi="Arial" w:cs="Arial"/>
                      <w:lang w:val="en-US"/>
                    </w:rPr>
                    <w:t>N</w:t>
                  </w:r>
                </w:p>
              </w:tc>
            </w:tr>
            <w:tr w:rsidR="0051499C" w:rsidRPr="009246FF" w14:paraId="3D2C839F" w14:textId="77777777" w:rsidTr="00155E70">
              <w:trPr>
                <w:trHeight w:val="171"/>
              </w:trPr>
              <w:tc>
                <w:tcPr>
                  <w:tcW w:w="1446" w:type="dxa"/>
                  <w:vMerge/>
                </w:tcPr>
                <w:p w14:paraId="40FA4DC2" w14:textId="77777777" w:rsidR="0051499C" w:rsidRPr="009246FF" w:rsidRDefault="0051499C" w:rsidP="001B5159">
                  <w:pPr>
                    <w:pStyle w:val="NoSpacing"/>
                    <w:rPr>
                      <w:rFonts w:ascii="Arial" w:hAnsi="Arial" w:cs="Arial"/>
                      <w:b/>
                      <w:bCs/>
                    </w:rPr>
                  </w:pPr>
                </w:p>
              </w:tc>
              <w:tc>
                <w:tcPr>
                  <w:tcW w:w="4536" w:type="dxa"/>
                </w:tcPr>
                <w:p w14:paraId="5D85F3B3" w14:textId="77777777" w:rsidR="0051499C" w:rsidRPr="009246FF" w:rsidRDefault="0051499C" w:rsidP="0051499C">
                  <w:pPr>
                    <w:jc w:val="both"/>
                    <w:rPr>
                      <w:rFonts w:ascii="Arial" w:hAnsi="Arial" w:cs="Arial"/>
                    </w:rPr>
                  </w:pPr>
                  <w:r w:rsidRPr="009246FF">
                    <w:rPr>
                      <w:rFonts w:ascii="Arial" w:hAnsi="Arial" w:cs="Arial"/>
                    </w:rPr>
                    <w:t xml:space="preserve">Otter Lutra </w:t>
                  </w:r>
                  <w:proofErr w:type="spellStart"/>
                  <w:r w:rsidRPr="009246FF">
                    <w:rPr>
                      <w:rFonts w:ascii="Arial" w:hAnsi="Arial" w:cs="Arial"/>
                    </w:rPr>
                    <w:t>lutra</w:t>
                  </w:r>
                  <w:proofErr w:type="spellEnd"/>
                  <w:r w:rsidRPr="009246FF">
                    <w:rPr>
                      <w:rFonts w:ascii="Arial" w:hAnsi="Arial" w:cs="Arial"/>
                    </w:rPr>
                    <w:t xml:space="preserve"> (1355)</w:t>
                  </w:r>
                  <w:r w:rsidRPr="009246FF">
                    <w:rPr>
                      <w:rFonts w:ascii="Arial" w:hAnsi="Arial" w:cs="Arial"/>
                      <w:b/>
                      <w:bCs/>
                    </w:rPr>
                    <w:t xml:space="preserve"> R</w:t>
                  </w:r>
                </w:p>
              </w:tc>
              <w:tc>
                <w:tcPr>
                  <w:tcW w:w="874" w:type="dxa"/>
                </w:tcPr>
                <w:p w14:paraId="76E30D44" w14:textId="2B5C8AF7" w:rsidR="0051499C" w:rsidRPr="009246FF" w:rsidRDefault="002F5221" w:rsidP="0051499C">
                  <w:pPr>
                    <w:jc w:val="both"/>
                    <w:rPr>
                      <w:rFonts w:ascii="Arial" w:hAnsi="Arial" w:cs="Arial"/>
                      <w:lang w:val="en-US"/>
                    </w:rPr>
                  </w:pPr>
                  <w:r w:rsidRPr="009246FF">
                    <w:rPr>
                      <w:rFonts w:ascii="Arial" w:hAnsi="Arial" w:cs="Arial"/>
                      <w:lang w:val="en-US"/>
                    </w:rPr>
                    <w:t>Y</w:t>
                  </w:r>
                </w:p>
              </w:tc>
              <w:tc>
                <w:tcPr>
                  <w:tcW w:w="851" w:type="dxa"/>
                </w:tcPr>
                <w:p w14:paraId="7F80D17A" w14:textId="77777777" w:rsidR="0051499C" w:rsidRPr="009246FF" w:rsidRDefault="0051499C" w:rsidP="0051499C">
                  <w:pPr>
                    <w:jc w:val="both"/>
                    <w:rPr>
                      <w:rFonts w:ascii="Arial" w:hAnsi="Arial" w:cs="Arial"/>
                      <w:lang w:val="en-US"/>
                    </w:rPr>
                  </w:pPr>
                  <w:r w:rsidRPr="009246FF">
                    <w:rPr>
                      <w:rFonts w:ascii="Arial" w:hAnsi="Arial" w:cs="Arial"/>
                      <w:lang w:val="en-US"/>
                    </w:rPr>
                    <w:t>N</w:t>
                  </w:r>
                </w:p>
              </w:tc>
              <w:tc>
                <w:tcPr>
                  <w:tcW w:w="1107" w:type="dxa"/>
                </w:tcPr>
                <w:p w14:paraId="0BF12531" w14:textId="77777777" w:rsidR="0051499C" w:rsidRPr="009246FF" w:rsidRDefault="0051499C" w:rsidP="0051499C">
                  <w:pPr>
                    <w:jc w:val="both"/>
                    <w:rPr>
                      <w:rFonts w:ascii="Arial" w:hAnsi="Arial" w:cs="Arial"/>
                      <w:lang w:val="en-US"/>
                    </w:rPr>
                  </w:pPr>
                  <w:r w:rsidRPr="009246FF">
                    <w:rPr>
                      <w:rFonts w:ascii="Arial" w:hAnsi="Arial" w:cs="Arial"/>
                      <w:lang w:val="en-US"/>
                    </w:rPr>
                    <w:t>N</w:t>
                  </w:r>
                </w:p>
              </w:tc>
            </w:tr>
          </w:tbl>
          <w:p w14:paraId="1F3CE01E" w14:textId="77777777" w:rsidR="00F67065" w:rsidRPr="009246FF" w:rsidRDefault="00F67065" w:rsidP="00424F6E">
            <w:pPr>
              <w:jc w:val="both"/>
              <w:rPr>
                <w:rFonts w:ascii="Arial" w:hAnsi="Arial" w:cs="Arial"/>
                <w:lang w:val="en-US"/>
              </w:rPr>
            </w:pPr>
          </w:p>
          <w:p w14:paraId="11349B73" w14:textId="6C7DE38E" w:rsidR="00FD3ED9" w:rsidRPr="009246FF" w:rsidRDefault="00F67065" w:rsidP="00424F6E">
            <w:pPr>
              <w:jc w:val="both"/>
              <w:rPr>
                <w:rFonts w:ascii="Arial" w:hAnsi="Arial" w:cs="Arial"/>
                <w:lang w:val="en-US"/>
              </w:rPr>
            </w:pPr>
            <w:r w:rsidRPr="009246FF">
              <w:rPr>
                <w:rFonts w:ascii="Arial" w:hAnsi="Arial" w:cs="Arial"/>
                <w:lang w:val="en-US"/>
              </w:rPr>
              <w:t xml:space="preserve">I conclude that the proposed development would have a likely significant effect ‘alone’ on </w:t>
            </w:r>
            <w:r w:rsidR="00683613" w:rsidRPr="009246FF">
              <w:rPr>
                <w:rFonts w:ascii="Arial" w:hAnsi="Arial" w:cs="Arial"/>
                <w:lang w:val="en-US"/>
              </w:rPr>
              <w:t xml:space="preserve">the qualifying interests of </w:t>
            </w:r>
            <w:r w:rsidR="00683613" w:rsidRPr="009246FF">
              <w:rPr>
                <w:rFonts w:ascii="Arial" w:hAnsi="Arial" w:cs="Arial"/>
                <w:b/>
                <w:bCs/>
              </w:rPr>
              <w:t xml:space="preserve">River Shannon and River Fergus Estuaries SPA (004077) </w:t>
            </w:r>
            <w:r w:rsidR="00811EF9" w:rsidRPr="009246FF">
              <w:rPr>
                <w:rFonts w:ascii="Arial" w:hAnsi="Arial" w:cs="Arial"/>
                <w:b/>
                <w:bCs/>
              </w:rPr>
              <w:t xml:space="preserve">and Lower River Shannon SAC (002165) </w:t>
            </w:r>
            <w:r w:rsidRPr="009246FF">
              <w:rPr>
                <w:rFonts w:ascii="Arial" w:hAnsi="Arial" w:cs="Arial"/>
                <w:lang w:val="en-US"/>
              </w:rPr>
              <w:t xml:space="preserve">from effects associated </w:t>
            </w:r>
            <w:proofErr w:type="gramStart"/>
            <w:r w:rsidR="00FD3ED9" w:rsidRPr="009246FF">
              <w:rPr>
                <w:rFonts w:ascii="Arial" w:hAnsi="Arial" w:cs="Arial"/>
                <w:lang w:val="en-US"/>
              </w:rPr>
              <w:t>with;</w:t>
            </w:r>
            <w:proofErr w:type="gramEnd"/>
          </w:p>
          <w:p w14:paraId="03C1AD8A" w14:textId="776E84D6" w:rsidR="00757ABA" w:rsidRPr="009246FF" w:rsidRDefault="00757ABA" w:rsidP="00C6208E">
            <w:pPr>
              <w:pStyle w:val="ListParagraph"/>
              <w:numPr>
                <w:ilvl w:val="0"/>
                <w:numId w:val="56"/>
              </w:numPr>
              <w:spacing w:after="0" w:line="240" w:lineRule="auto"/>
              <w:jc w:val="both"/>
              <w:rPr>
                <w:sz w:val="22"/>
                <w:szCs w:val="22"/>
                <w:lang w:val="en-US"/>
              </w:rPr>
            </w:pPr>
            <w:r w:rsidRPr="009246FF">
              <w:rPr>
                <w:sz w:val="22"/>
                <w:szCs w:val="22"/>
                <w:lang w:val="en-US"/>
              </w:rPr>
              <w:t>C</w:t>
            </w:r>
            <w:r w:rsidR="00083BD5" w:rsidRPr="009246FF">
              <w:rPr>
                <w:sz w:val="22"/>
                <w:szCs w:val="22"/>
                <w:lang w:val="en-US"/>
              </w:rPr>
              <w:t>onstruction</w:t>
            </w:r>
            <w:r w:rsidR="001A6C0D" w:rsidRPr="009246FF">
              <w:rPr>
                <w:sz w:val="22"/>
                <w:szCs w:val="22"/>
                <w:lang w:val="en-US"/>
              </w:rPr>
              <w:t xml:space="preserve"> noise</w:t>
            </w:r>
            <w:r w:rsidR="005D5448" w:rsidRPr="009246FF">
              <w:rPr>
                <w:sz w:val="22"/>
                <w:szCs w:val="22"/>
                <w:lang w:val="en-US"/>
              </w:rPr>
              <w:t xml:space="preserve">, </w:t>
            </w:r>
            <w:r w:rsidR="001A6C0D" w:rsidRPr="009246FF">
              <w:rPr>
                <w:sz w:val="22"/>
                <w:szCs w:val="22"/>
                <w:lang w:val="en-US"/>
              </w:rPr>
              <w:t>vibration</w:t>
            </w:r>
            <w:r w:rsidR="005D5448" w:rsidRPr="009246FF">
              <w:rPr>
                <w:sz w:val="22"/>
                <w:szCs w:val="22"/>
                <w:lang w:val="en-US"/>
              </w:rPr>
              <w:t>, lighting</w:t>
            </w:r>
            <w:r w:rsidRPr="009246FF">
              <w:rPr>
                <w:sz w:val="22"/>
                <w:szCs w:val="22"/>
                <w:lang w:val="en-US"/>
              </w:rPr>
              <w:t xml:space="preserve"> disturbance on </w:t>
            </w:r>
            <w:r w:rsidR="005D5448" w:rsidRPr="009246FF">
              <w:rPr>
                <w:sz w:val="22"/>
                <w:szCs w:val="22"/>
                <w:lang w:val="en-US"/>
              </w:rPr>
              <w:t>birds</w:t>
            </w:r>
          </w:p>
          <w:p w14:paraId="2D5D7CE3" w14:textId="03126842" w:rsidR="00E61FA4" w:rsidRPr="009246FF" w:rsidRDefault="00E61FA4" w:rsidP="00C6208E">
            <w:pPr>
              <w:pStyle w:val="ListParagraph"/>
              <w:numPr>
                <w:ilvl w:val="0"/>
                <w:numId w:val="56"/>
              </w:numPr>
              <w:spacing w:after="0" w:line="240" w:lineRule="auto"/>
              <w:jc w:val="both"/>
              <w:rPr>
                <w:sz w:val="22"/>
                <w:szCs w:val="22"/>
                <w:lang w:val="en-US"/>
              </w:rPr>
            </w:pPr>
            <w:r w:rsidRPr="009246FF">
              <w:rPr>
                <w:sz w:val="22"/>
                <w:szCs w:val="22"/>
                <w:lang w:val="en-US"/>
              </w:rPr>
              <w:t xml:space="preserve">Construction noise and vibration impacts on Lamprey Species, </w:t>
            </w:r>
            <w:proofErr w:type="gramStart"/>
            <w:r w:rsidRPr="009246FF">
              <w:rPr>
                <w:sz w:val="22"/>
                <w:szCs w:val="22"/>
                <w:lang w:val="en-US"/>
              </w:rPr>
              <w:t>Salmon</w:t>
            </w:r>
            <w:proofErr w:type="gramEnd"/>
            <w:r w:rsidRPr="009246FF">
              <w:rPr>
                <w:sz w:val="22"/>
                <w:szCs w:val="22"/>
                <w:lang w:val="en-US"/>
              </w:rPr>
              <w:t xml:space="preserve"> and Dolphins</w:t>
            </w:r>
          </w:p>
          <w:p w14:paraId="42D4A0CC" w14:textId="77777777" w:rsidR="003A564F" w:rsidRPr="009246FF" w:rsidRDefault="003A564F" w:rsidP="003A564F">
            <w:pPr>
              <w:jc w:val="both"/>
              <w:rPr>
                <w:rFonts w:ascii="Arial" w:hAnsi="Arial" w:cs="Arial"/>
                <w:lang w:val="en-US"/>
              </w:rPr>
            </w:pPr>
          </w:p>
          <w:p w14:paraId="2692891A" w14:textId="29B4BFEE" w:rsidR="003A564F" w:rsidRPr="009246FF" w:rsidRDefault="0030097C" w:rsidP="003A564F">
            <w:pPr>
              <w:jc w:val="both"/>
              <w:rPr>
                <w:rFonts w:ascii="Arial" w:hAnsi="Arial" w:cs="Arial"/>
                <w:lang w:val="en-US"/>
              </w:rPr>
            </w:pPr>
            <w:r w:rsidRPr="009246FF">
              <w:rPr>
                <w:rFonts w:ascii="Arial" w:hAnsi="Arial" w:cs="Arial"/>
              </w:rPr>
              <w:t xml:space="preserve">Construction of the Proposed Development </w:t>
            </w:r>
            <w:proofErr w:type="gramStart"/>
            <w:r w:rsidRPr="009246FF">
              <w:rPr>
                <w:rFonts w:ascii="Arial" w:hAnsi="Arial" w:cs="Arial"/>
              </w:rPr>
              <w:t>in close proximity to</w:t>
            </w:r>
            <w:proofErr w:type="gramEnd"/>
            <w:r w:rsidRPr="009246FF">
              <w:rPr>
                <w:rFonts w:ascii="Arial" w:hAnsi="Arial" w:cs="Arial"/>
              </w:rPr>
              <w:t xml:space="preserve"> wetland and estuarine habitats has the potential to impact bird SCI. </w:t>
            </w:r>
            <w:r w:rsidR="003A564F" w:rsidRPr="009246FF">
              <w:rPr>
                <w:rFonts w:ascii="Arial" w:hAnsi="Arial" w:cs="Arial"/>
              </w:rPr>
              <w:t xml:space="preserve">Noise and visual disturbance, arising from the presence of personnel, plant and machinery, noise generated by demolition and construction works, including piling, may disturb birds using habitats surrounding the Site. Any lighting used during the construction phase could also cause disturbance of SCI birds when foraging or roosting. Disturbance could cause birds to avoid areas otherwise suitable for foraging or </w:t>
            </w:r>
            <w:r w:rsidR="003A564F" w:rsidRPr="009246FF">
              <w:rPr>
                <w:rFonts w:ascii="Arial" w:hAnsi="Arial" w:cs="Arial"/>
              </w:rPr>
              <w:lastRenderedPageBreak/>
              <w:t>roosting, causing their distribution within the SPA to shift and potentially leading to reduced abundance of birds within the SPA.</w:t>
            </w:r>
          </w:p>
          <w:p w14:paraId="2885DD83" w14:textId="77777777" w:rsidR="0084253B" w:rsidRPr="009246FF" w:rsidRDefault="0084253B" w:rsidP="0084253B">
            <w:pPr>
              <w:pStyle w:val="ListParagraph"/>
              <w:spacing w:after="0" w:line="240" w:lineRule="auto"/>
              <w:jc w:val="both"/>
              <w:rPr>
                <w:sz w:val="22"/>
                <w:szCs w:val="22"/>
                <w:lang w:val="en-US"/>
              </w:rPr>
            </w:pPr>
          </w:p>
          <w:p w14:paraId="4FD307D4" w14:textId="5B7DCA2B" w:rsidR="00ED3F31" w:rsidRPr="009246FF" w:rsidDel="00433ABF" w:rsidRDefault="00F67065" w:rsidP="00424F6E">
            <w:pPr>
              <w:jc w:val="both"/>
              <w:rPr>
                <w:rFonts w:ascii="Arial" w:hAnsi="Arial" w:cs="Arial"/>
                <w:b/>
                <w:bCs/>
                <w:lang w:val="en-US"/>
              </w:rPr>
            </w:pPr>
            <w:r w:rsidRPr="009246FF">
              <w:rPr>
                <w:rFonts w:ascii="Arial" w:hAnsi="Arial" w:cs="Arial"/>
                <w:lang w:val="en-US"/>
              </w:rPr>
              <w:t xml:space="preserve">An appropriate assessment is required </w:t>
            </w:r>
            <w:proofErr w:type="gramStart"/>
            <w:r w:rsidRPr="009246FF">
              <w:rPr>
                <w:rFonts w:ascii="Arial" w:hAnsi="Arial" w:cs="Arial"/>
                <w:lang w:val="en-US"/>
              </w:rPr>
              <w:t>on the basis of</w:t>
            </w:r>
            <w:proofErr w:type="gramEnd"/>
            <w:r w:rsidRPr="009246FF">
              <w:rPr>
                <w:rFonts w:ascii="Arial" w:hAnsi="Arial" w:cs="Arial"/>
                <w:lang w:val="en-US"/>
              </w:rPr>
              <w:t xml:space="preserve"> the effects of the project ‘alone’. Further assessment in-combination with other plans and projects is not required </w:t>
            </w:r>
            <w:proofErr w:type="gramStart"/>
            <w:r w:rsidRPr="009246FF">
              <w:rPr>
                <w:rFonts w:ascii="Arial" w:hAnsi="Arial" w:cs="Arial"/>
                <w:lang w:val="en-US"/>
              </w:rPr>
              <w:t>at this time</w:t>
            </w:r>
            <w:proofErr w:type="gramEnd"/>
            <w:r w:rsidRPr="009246FF">
              <w:rPr>
                <w:rFonts w:ascii="Arial" w:hAnsi="Arial" w:cs="Arial"/>
                <w:lang w:val="en-US"/>
              </w:rPr>
              <w:t xml:space="preserve">. </w:t>
            </w:r>
            <w:r w:rsidRPr="009246FF">
              <w:rPr>
                <w:rFonts w:ascii="Arial" w:hAnsi="Arial" w:cs="Arial"/>
                <w:b/>
                <w:bCs/>
                <w:lang w:val="en-US"/>
              </w:rPr>
              <w:t>Proceed to AA.</w:t>
            </w:r>
          </w:p>
        </w:tc>
      </w:tr>
      <w:tr w:rsidR="00F67065" w:rsidRPr="00143A6E" w14:paraId="47EE2A22" w14:textId="77777777" w:rsidTr="00E46848">
        <w:tc>
          <w:tcPr>
            <w:tcW w:w="9067" w:type="dxa"/>
          </w:tcPr>
          <w:p w14:paraId="4A1D3A77" w14:textId="77777777" w:rsidR="00F67065" w:rsidRPr="009246FF" w:rsidRDefault="00F67065" w:rsidP="00424F6E">
            <w:pPr>
              <w:jc w:val="both"/>
              <w:rPr>
                <w:rFonts w:ascii="Arial" w:hAnsi="Arial" w:cs="Arial"/>
                <w:b/>
                <w:bCs/>
                <w:lang w:val="en-US"/>
              </w:rPr>
            </w:pPr>
            <w:r w:rsidRPr="009246FF">
              <w:rPr>
                <w:rFonts w:ascii="Arial" w:hAnsi="Arial" w:cs="Arial"/>
                <w:b/>
                <w:bCs/>
                <w:lang w:val="en-US"/>
              </w:rPr>
              <w:lastRenderedPageBreak/>
              <w:t xml:space="preserve">Step 5: Where relevant, likely significant effects on the European site(s) ‘in-combination with other plans and projects’ </w:t>
            </w:r>
          </w:p>
          <w:p w14:paraId="79F2BD75" w14:textId="77777777" w:rsidR="00BA77AE" w:rsidRPr="009246FF" w:rsidRDefault="00BA77AE" w:rsidP="00424F6E">
            <w:pPr>
              <w:jc w:val="both"/>
              <w:rPr>
                <w:rFonts w:ascii="Arial" w:hAnsi="Arial" w:cs="Arial"/>
                <w:lang w:val="en-US"/>
              </w:rPr>
            </w:pPr>
          </w:p>
          <w:p w14:paraId="42DCBD17" w14:textId="77777777" w:rsidR="00F67065" w:rsidRPr="009246FF" w:rsidRDefault="00BA77AE" w:rsidP="0016742F">
            <w:pPr>
              <w:jc w:val="both"/>
              <w:rPr>
                <w:rFonts w:ascii="Arial" w:hAnsi="Arial" w:cs="Arial"/>
              </w:rPr>
            </w:pPr>
            <w:r w:rsidRPr="009246FF">
              <w:rPr>
                <w:rFonts w:ascii="Arial" w:hAnsi="Arial" w:cs="Arial"/>
              </w:rPr>
              <w:t>There are no proposals within plans that could act in-combination with the Proposed Development.</w:t>
            </w:r>
          </w:p>
          <w:p w14:paraId="5B7C3AF2" w14:textId="2126A90E" w:rsidR="00811EF9" w:rsidRPr="009246FF" w:rsidRDefault="00811EF9" w:rsidP="0016742F">
            <w:pPr>
              <w:jc w:val="both"/>
              <w:rPr>
                <w:rFonts w:ascii="Arial" w:hAnsi="Arial" w:cs="Arial"/>
                <w:lang w:val="en-US"/>
              </w:rPr>
            </w:pPr>
          </w:p>
        </w:tc>
      </w:tr>
      <w:tr w:rsidR="00F67065" w:rsidRPr="00143A6E" w14:paraId="69C5F09B" w14:textId="77777777" w:rsidTr="00E46848">
        <w:tc>
          <w:tcPr>
            <w:tcW w:w="9067" w:type="dxa"/>
          </w:tcPr>
          <w:p w14:paraId="16D33A7D" w14:textId="77777777" w:rsidR="00F67065" w:rsidRPr="009246FF" w:rsidRDefault="00F67065" w:rsidP="00424F6E">
            <w:pPr>
              <w:jc w:val="both"/>
              <w:rPr>
                <w:rFonts w:ascii="Arial" w:hAnsi="Arial" w:cs="Arial"/>
                <w:b/>
                <w:bCs/>
                <w:lang w:val="en-US"/>
              </w:rPr>
            </w:pPr>
            <w:r w:rsidRPr="009246FF">
              <w:rPr>
                <w:rFonts w:ascii="Arial" w:hAnsi="Arial" w:cs="Arial"/>
                <w:b/>
                <w:bCs/>
                <w:lang w:val="en-US"/>
              </w:rPr>
              <w:t xml:space="preserve">Overall Conclusion- Screening Determination </w:t>
            </w:r>
          </w:p>
          <w:p w14:paraId="2E80D997" w14:textId="77777777" w:rsidR="00F67065" w:rsidRPr="009246FF" w:rsidRDefault="00F67065" w:rsidP="00424F6E">
            <w:pPr>
              <w:jc w:val="both"/>
              <w:rPr>
                <w:rFonts w:ascii="Arial" w:hAnsi="Arial" w:cs="Arial"/>
                <w:b/>
                <w:bCs/>
                <w:lang w:val="en-US"/>
              </w:rPr>
            </w:pPr>
          </w:p>
          <w:p w14:paraId="0F6C5643" w14:textId="4D90CE52" w:rsidR="00F67065" w:rsidRPr="009246FF" w:rsidRDefault="00E61FA4" w:rsidP="00424F6E">
            <w:pPr>
              <w:jc w:val="both"/>
              <w:rPr>
                <w:rFonts w:ascii="Arial" w:hAnsi="Arial" w:cs="Arial"/>
                <w:lang w:val="en-US"/>
              </w:rPr>
            </w:pPr>
            <w:r w:rsidRPr="009246FF">
              <w:rPr>
                <w:rFonts w:ascii="Arial" w:hAnsi="Arial" w:cs="Arial"/>
                <w:lang w:val="en-US"/>
              </w:rPr>
              <w:t xml:space="preserve">In accordance with Section 177U(4) of the Planning and Development Act 2000 (as amended) and on the basis of objective information, I conclude that the proposed development is likely to have a significant effect on the protected birds and habitat of the River Shannon and River Fergus Estuaries SPA (004077)  ‘alone’ in respect of effects associated with construction noise, vibration and lighting disturbance on bird species within the SPA.  In addition, the proposed development is likely to have a significant effect on QI species including Lamprey Species, </w:t>
            </w:r>
            <w:proofErr w:type="gramStart"/>
            <w:r w:rsidRPr="009246FF">
              <w:rPr>
                <w:rFonts w:ascii="Arial" w:hAnsi="Arial" w:cs="Arial"/>
                <w:lang w:val="en-US"/>
              </w:rPr>
              <w:t>Salmon</w:t>
            </w:r>
            <w:proofErr w:type="gramEnd"/>
            <w:r w:rsidRPr="009246FF">
              <w:rPr>
                <w:rFonts w:ascii="Arial" w:hAnsi="Arial" w:cs="Arial"/>
                <w:lang w:val="en-US"/>
              </w:rPr>
              <w:t xml:space="preserve"> and Dolphin of the Lower River Shannon SAC (002165) due to noise and vibration disturbance from construction works.</w:t>
            </w:r>
          </w:p>
          <w:p w14:paraId="4A36009C" w14:textId="77777777" w:rsidR="00F67065" w:rsidRPr="009246FF" w:rsidRDefault="00F67065" w:rsidP="00424F6E">
            <w:pPr>
              <w:jc w:val="both"/>
              <w:rPr>
                <w:rFonts w:ascii="Arial" w:hAnsi="Arial" w:cs="Arial"/>
                <w:lang w:val="en-US"/>
              </w:rPr>
            </w:pPr>
          </w:p>
          <w:p w14:paraId="14C24A53" w14:textId="77777777" w:rsidR="00F67065" w:rsidRPr="009246FF" w:rsidRDefault="00F67065" w:rsidP="00424F6E">
            <w:pPr>
              <w:jc w:val="both"/>
              <w:rPr>
                <w:rFonts w:ascii="Arial" w:hAnsi="Arial" w:cs="Arial"/>
                <w:lang w:val="en-US"/>
              </w:rPr>
            </w:pPr>
            <w:r w:rsidRPr="009246FF">
              <w:rPr>
                <w:rFonts w:ascii="Arial" w:hAnsi="Arial" w:cs="Arial"/>
                <w:lang w:val="en-US"/>
              </w:rPr>
              <w:t xml:space="preserve">It is therefore determined that Appropriate Assessment (stage 2) [under Section 177V of the Planning and Development Act 2000] is required </w:t>
            </w:r>
            <w:proofErr w:type="gramStart"/>
            <w:r w:rsidRPr="009246FF">
              <w:rPr>
                <w:rFonts w:ascii="Arial" w:hAnsi="Arial" w:cs="Arial"/>
                <w:lang w:val="en-US"/>
              </w:rPr>
              <w:t>on the basis of</w:t>
            </w:r>
            <w:proofErr w:type="gramEnd"/>
            <w:r w:rsidRPr="009246FF">
              <w:rPr>
                <w:rFonts w:ascii="Arial" w:hAnsi="Arial" w:cs="Arial"/>
                <w:lang w:val="en-US"/>
              </w:rPr>
              <w:t xml:space="preserve"> the effects of the project ‘alone’. </w:t>
            </w:r>
          </w:p>
          <w:p w14:paraId="1C437319" w14:textId="77777777" w:rsidR="00F67065" w:rsidRPr="009246FF" w:rsidRDefault="00F67065" w:rsidP="00424F6E">
            <w:pPr>
              <w:jc w:val="both"/>
              <w:rPr>
                <w:rFonts w:ascii="Arial" w:hAnsi="Arial" w:cs="Arial"/>
                <w:lang w:val="en-US"/>
              </w:rPr>
            </w:pPr>
          </w:p>
          <w:p w14:paraId="62A3568E" w14:textId="69627DD3" w:rsidR="00F67065" w:rsidRPr="009246FF" w:rsidRDefault="00F67065" w:rsidP="00424F6E">
            <w:pPr>
              <w:jc w:val="both"/>
              <w:rPr>
                <w:rFonts w:ascii="Arial" w:hAnsi="Arial" w:cs="Arial"/>
                <w:lang w:val="en-US"/>
              </w:rPr>
            </w:pPr>
            <w:r w:rsidRPr="009246FF">
              <w:rPr>
                <w:rFonts w:ascii="Arial" w:hAnsi="Arial" w:cs="Arial"/>
                <w:lang w:val="en-US"/>
              </w:rPr>
              <w:t>This conclusion is based o</w:t>
            </w:r>
            <w:r w:rsidR="00D51591" w:rsidRPr="009246FF">
              <w:rPr>
                <w:rFonts w:ascii="Arial" w:hAnsi="Arial" w:cs="Arial"/>
                <w:lang w:val="en-US"/>
              </w:rPr>
              <w:t>n</w:t>
            </w:r>
            <w:r w:rsidRPr="009246FF">
              <w:rPr>
                <w:rFonts w:ascii="Arial" w:hAnsi="Arial" w:cs="Arial"/>
                <w:lang w:val="en-US"/>
              </w:rPr>
              <w:t>:</w:t>
            </w:r>
          </w:p>
          <w:p w14:paraId="2F3C6293" w14:textId="77777777" w:rsidR="00F67065" w:rsidRPr="009246FF" w:rsidRDefault="00F67065" w:rsidP="00C6208E">
            <w:pPr>
              <w:pStyle w:val="ListParagraph"/>
              <w:numPr>
                <w:ilvl w:val="0"/>
                <w:numId w:val="53"/>
              </w:numPr>
              <w:spacing w:after="0" w:line="240" w:lineRule="auto"/>
              <w:jc w:val="both"/>
              <w:rPr>
                <w:sz w:val="22"/>
                <w:szCs w:val="22"/>
                <w:lang w:val="en-US"/>
              </w:rPr>
            </w:pPr>
            <w:r w:rsidRPr="009246FF">
              <w:rPr>
                <w:sz w:val="22"/>
                <w:szCs w:val="22"/>
                <w:lang w:val="en-US"/>
              </w:rPr>
              <w:t>Objective information presented in the Screening Report</w:t>
            </w:r>
          </w:p>
          <w:p w14:paraId="698F51DD" w14:textId="77777777" w:rsidR="00F67065" w:rsidRPr="009246FF" w:rsidRDefault="00F67065" w:rsidP="00C6208E">
            <w:pPr>
              <w:pStyle w:val="ListParagraph"/>
              <w:numPr>
                <w:ilvl w:val="0"/>
                <w:numId w:val="53"/>
              </w:numPr>
              <w:spacing w:after="0" w:line="240" w:lineRule="auto"/>
              <w:jc w:val="both"/>
              <w:rPr>
                <w:sz w:val="22"/>
                <w:szCs w:val="22"/>
                <w:lang w:val="en-US"/>
              </w:rPr>
            </w:pPr>
            <w:r w:rsidRPr="009246FF">
              <w:rPr>
                <w:sz w:val="22"/>
                <w:szCs w:val="22"/>
                <w:lang w:val="en-US"/>
              </w:rPr>
              <w:t>Standard pollution controls that would be employed regardless of proximity to a European site and effectiveness of same</w:t>
            </w:r>
          </w:p>
          <w:p w14:paraId="3A44693F" w14:textId="77777777" w:rsidR="00F67065" w:rsidRPr="009246FF" w:rsidRDefault="00F67065" w:rsidP="00C6208E">
            <w:pPr>
              <w:pStyle w:val="ListParagraph"/>
              <w:numPr>
                <w:ilvl w:val="0"/>
                <w:numId w:val="53"/>
              </w:numPr>
              <w:spacing w:after="0" w:line="240" w:lineRule="auto"/>
              <w:jc w:val="both"/>
              <w:rPr>
                <w:sz w:val="22"/>
                <w:szCs w:val="22"/>
                <w:lang w:val="en-US"/>
              </w:rPr>
            </w:pPr>
            <w:r w:rsidRPr="009246FF">
              <w:rPr>
                <w:sz w:val="22"/>
                <w:szCs w:val="22"/>
                <w:lang w:val="en-US"/>
              </w:rPr>
              <w:t xml:space="preserve">Distance from European Sites, </w:t>
            </w:r>
          </w:p>
          <w:p w14:paraId="6D86672E" w14:textId="77777777" w:rsidR="00F67065" w:rsidRPr="009246FF" w:rsidRDefault="00F67065" w:rsidP="00C6208E">
            <w:pPr>
              <w:pStyle w:val="ListParagraph"/>
              <w:numPr>
                <w:ilvl w:val="0"/>
                <w:numId w:val="53"/>
              </w:numPr>
              <w:spacing w:after="0" w:line="240" w:lineRule="auto"/>
              <w:jc w:val="both"/>
              <w:rPr>
                <w:sz w:val="22"/>
                <w:szCs w:val="22"/>
                <w:lang w:val="en-US"/>
              </w:rPr>
            </w:pPr>
            <w:r w:rsidRPr="009246FF">
              <w:rPr>
                <w:sz w:val="22"/>
                <w:szCs w:val="22"/>
                <w:lang w:val="en-US"/>
              </w:rPr>
              <w:t>The absence of meaningful pathway to any European site</w:t>
            </w:r>
          </w:p>
          <w:p w14:paraId="583152FC" w14:textId="77777777" w:rsidR="00F67065" w:rsidRPr="009246FF" w:rsidRDefault="00F67065" w:rsidP="00C6208E">
            <w:pPr>
              <w:pStyle w:val="ListParagraph"/>
              <w:numPr>
                <w:ilvl w:val="0"/>
                <w:numId w:val="53"/>
              </w:numPr>
              <w:spacing w:after="0" w:line="240" w:lineRule="auto"/>
              <w:jc w:val="both"/>
              <w:rPr>
                <w:sz w:val="22"/>
                <w:szCs w:val="22"/>
                <w:lang w:val="en-US"/>
              </w:rPr>
            </w:pPr>
            <w:r w:rsidRPr="009246FF">
              <w:rPr>
                <w:sz w:val="22"/>
                <w:szCs w:val="22"/>
                <w:lang w:val="en-US"/>
              </w:rPr>
              <w:t xml:space="preserve">Impacts predicted would not affect the conservation objectives. </w:t>
            </w:r>
          </w:p>
          <w:p w14:paraId="77497060" w14:textId="77777777" w:rsidR="00F67065" w:rsidRPr="009246FF" w:rsidRDefault="00F67065" w:rsidP="00424F6E">
            <w:pPr>
              <w:jc w:val="both"/>
              <w:rPr>
                <w:rFonts w:ascii="Arial" w:hAnsi="Arial" w:cs="Arial"/>
                <w:lang w:val="en-US"/>
              </w:rPr>
            </w:pPr>
          </w:p>
          <w:p w14:paraId="5769031E" w14:textId="77777777" w:rsidR="00F67065" w:rsidRPr="009246FF" w:rsidRDefault="00F67065" w:rsidP="00424F6E">
            <w:pPr>
              <w:jc w:val="both"/>
              <w:rPr>
                <w:rFonts w:ascii="Arial" w:hAnsi="Arial" w:cs="Arial"/>
                <w:lang w:val="en-US"/>
              </w:rPr>
            </w:pPr>
            <w:r w:rsidRPr="009246FF">
              <w:rPr>
                <w:rFonts w:ascii="Arial" w:hAnsi="Arial" w:cs="Arial"/>
                <w:lang w:val="en-US"/>
              </w:rPr>
              <w:t xml:space="preserve">No measures intended to avoid or reduce harmful effects on European sites were </w:t>
            </w:r>
            <w:proofErr w:type="gramStart"/>
            <w:r w:rsidRPr="009246FF">
              <w:rPr>
                <w:rFonts w:ascii="Arial" w:hAnsi="Arial" w:cs="Arial"/>
                <w:lang w:val="en-US"/>
              </w:rPr>
              <w:t>taken into account</w:t>
            </w:r>
            <w:proofErr w:type="gramEnd"/>
            <w:r w:rsidRPr="009246FF">
              <w:rPr>
                <w:rFonts w:ascii="Arial" w:hAnsi="Arial" w:cs="Arial"/>
                <w:lang w:val="en-US"/>
              </w:rPr>
              <w:t xml:space="preserve"> in reaching this conclusion.</w:t>
            </w:r>
          </w:p>
          <w:p w14:paraId="72A973A2" w14:textId="77777777" w:rsidR="00F67065" w:rsidRPr="009246FF" w:rsidRDefault="00F67065" w:rsidP="00424F6E">
            <w:pPr>
              <w:jc w:val="both"/>
              <w:rPr>
                <w:rFonts w:ascii="Arial" w:hAnsi="Arial" w:cs="Arial"/>
                <w:lang w:val="en-US"/>
              </w:rPr>
            </w:pPr>
          </w:p>
        </w:tc>
      </w:tr>
      <w:bookmarkEnd w:id="76"/>
    </w:tbl>
    <w:p w14:paraId="1431129D" w14:textId="1C68614F" w:rsidR="00F67065" w:rsidRPr="00143A6E" w:rsidRDefault="00F67065" w:rsidP="008E0A0B">
      <w:pPr>
        <w:jc w:val="both"/>
        <w:rPr>
          <w:rFonts w:ascii="Arial" w:hAnsi="Arial" w:cs="Arial"/>
          <w:b/>
        </w:rPr>
      </w:pPr>
    </w:p>
    <w:sectPr w:rsidR="00F67065" w:rsidRPr="00143A6E" w:rsidSect="007022E0">
      <w:footerReference w:type="default" r:id="rId22"/>
      <w:pgSz w:w="11906" w:h="16838"/>
      <w:pgMar w:top="1440" w:right="1440" w:bottom="1440" w:left="1440" w:header="708"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48C35" w14:textId="77777777" w:rsidR="00476639" w:rsidRDefault="00476639">
      <w:pPr>
        <w:spacing w:after="0" w:line="240" w:lineRule="auto"/>
      </w:pPr>
      <w:r>
        <w:separator/>
      </w:r>
    </w:p>
  </w:endnote>
  <w:endnote w:type="continuationSeparator" w:id="0">
    <w:p w14:paraId="48B644ED" w14:textId="77777777" w:rsidR="00476639" w:rsidRDefault="00476639">
      <w:pPr>
        <w:spacing w:after="0" w:line="240" w:lineRule="auto"/>
      </w:pPr>
      <w:r>
        <w:continuationSeparator/>
      </w:r>
    </w:p>
  </w:endnote>
  <w:endnote w:type="continuationNotice" w:id="1">
    <w:p w14:paraId="0D2D925F" w14:textId="77777777" w:rsidR="00476639" w:rsidRDefault="00476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2942"/>
      <w:gridCol w:w="2942"/>
    </w:tblGrid>
    <w:tr w:rsidR="002B0C5D" w14:paraId="2107F24C" w14:textId="77777777" w:rsidTr="00DE746D">
      <w:sdt>
        <w:sdtPr>
          <w:rPr>
            <w:sz w:val="22"/>
            <w:szCs w:val="22"/>
          </w:rPr>
          <w:alias w:val="osds_inspectorreport_osds_abpcase_title"/>
          <w:tag w:val="dcp|document||String|jobdone"/>
          <w:id w:val="425207670"/>
          <w:placeholder>
            <w:docPart w:val="17E433C79E75428F9B960EF1A48712AD"/>
          </w:placeholder>
          <w:text/>
        </w:sdtPr>
        <w:sdtContent>
          <w:tc>
            <w:tcPr>
              <w:tcW w:w="2941" w:type="dxa"/>
            </w:tcPr>
            <w:p w14:paraId="2107F249" w14:textId="77777777" w:rsidR="00996987" w:rsidRPr="00996987" w:rsidRDefault="000F3BD8" w:rsidP="00996987">
              <w:pPr>
                <w:pStyle w:val="08ReportTitle"/>
                <w:spacing w:before="240"/>
                <w:rPr>
                  <w:sz w:val="22"/>
                  <w:szCs w:val="22"/>
                </w:rPr>
              </w:pPr>
              <w:r>
                <w:rPr>
                  <w:sz w:val="22"/>
                  <w:szCs w:val="22"/>
                </w:rPr>
                <w:t>ABP-318540-23</w:t>
              </w:r>
            </w:p>
          </w:tc>
        </w:sdtContent>
      </w:sdt>
      <w:tc>
        <w:tcPr>
          <w:tcW w:w="2942" w:type="dxa"/>
        </w:tcPr>
        <w:p w14:paraId="2107F24A" w14:textId="77777777" w:rsidR="00996987" w:rsidRPr="00996987" w:rsidRDefault="000F3BD8" w:rsidP="00996987">
          <w:pPr>
            <w:pStyle w:val="08ReportTitle"/>
            <w:spacing w:before="240"/>
            <w:jc w:val="center"/>
            <w:rPr>
              <w:sz w:val="22"/>
              <w:szCs w:val="22"/>
            </w:rPr>
          </w:pPr>
          <w:r>
            <w:rPr>
              <w:rFonts w:eastAsia="Arial" w:cs="Times New Roman"/>
              <w:sz w:val="22"/>
              <w:szCs w:val="22"/>
            </w:rPr>
            <w:t>Inspector’s Report</w:t>
          </w:r>
        </w:p>
      </w:tc>
      <w:tc>
        <w:tcPr>
          <w:tcW w:w="2942" w:type="dxa"/>
        </w:tcPr>
        <w:p w14:paraId="2107F24B" w14:textId="77777777" w:rsidR="00996987" w:rsidRPr="00996987" w:rsidRDefault="000F3BD8" w:rsidP="00996987">
          <w:pPr>
            <w:pStyle w:val="08ReportTitle"/>
            <w:spacing w:before="240"/>
            <w:jc w:val="right"/>
            <w:rPr>
              <w:sz w:val="22"/>
              <w:szCs w:val="22"/>
            </w:rPr>
          </w:pPr>
          <w:r w:rsidRPr="00996987">
            <w:rPr>
              <w:rFonts w:cs="Arial"/>
              <w:sz w:val="22"/>
              <w:szCs w:val="22"/>
            </w:rPr>
            <w:t xml:space="preserve">Page </w:t>
          </w:r>
          <w:r w:rsidRPr="00996987">
            <w:rPr>
              <w:rStyle w:val="PageNumber"/>
              <w:rFonts w:cs="Arial"/>
              <w:sz w:val="22"/>
              <w:szCs w:val="22"/>
            </w:rPr>
            <w:fldChar w:fldCharType="begin"/>
          </w:r>
          <w:r w:rsidRPr="00996987">
            <w:rPr>
              <w:rStyle w:val="PageNumber"/>
              <w:rFonts w:cs="Arial"/>
              <w:sz w:val="22"/>
              <w:szCs w:val="22"/>
            </w:rPr>
            <w:instrText xml:space="preserve"> PAGE </w:instrText>
          </w:r>
          <w:r w:rsidRPr="00996987">
            <w:rPr>
              <w:rStyle w:val="PageNumber"/>
              <w:rFonts w:cs="Arial"/>
              <w:sz w:val="22"/>
              <w:szCs w:val="22"/>
            </w:rPr>
            <w:fldChar w:fldCharType="separate"/>
          </w:r>
          <w:r w:rsidRPr="00996987">
            <w:rPr>
              <w:rStyle w:val="PageNumber"/>
              <w:rFonts w:cs="Arial"/>
              <w:sz w:val="22"/>
              <w:szCs w:val="22"/>
            </w:rPr>
            <w:t>8</w:t>
          </w:r>
          <w:r w:rsidRPr="00996987">
            <w:rPr>
              <w:rStyle w:val="PageNumber"/>
              <w:rFonts w:cs="Arial"/>
              <w:sz w:val="22"/>
              <w:szCs w:val="22"/>
            </w:rPr>
            <w:fldChar w:fldCharType="end"/>
          </w:r>
          <w:r w:rsidRPr="00996987">
            <w:rPr>
              <w:rStyle w:val="PageNumber"/>
              <w:rFonts w:cs="Arial"/>
              <w:sz w:val="22"/>
              <w:szCs w:val="22"/>
            </w:rPr>
            <w:t xml:space="preserve"> of </w:t>
          </w:r>
          <w:r w:rsidRPr="00996987">
            <w:rPr>
              <w:rStyle w:val="PageNumber"/>
              <w:rFonts w:cs="Arial"/>
              <w:sz w:val="22"/>
              <w:szCs w:val="22"/>
            </w:rPr>
            <w:fldChar w:fldCharType="begin"/>
          </w:r>
          <w:r w:rsidRPr="00996987">
            <w:rPr>
              <w:rStyle w:val="PageNumber"/>
              <w:rFonts w:cs="Arial"/>
              <w:sz w:val="22"/>
              <w:szCs w:val="22"/>
            </w:rPr>
            <w:instrText xml:space="preserve"> NUMPAGES </w:instrText>
          </w:r>
          <w:r w:rsidRPr="00996987">
            <w:rPr>
              <w:rStyle w:val="PageNumber"/>
              <w:rFonts w:cs="Arial"/>
              <w:sz w:val="22"/>
              <w:szCs w:val="22"/>
            </w:rPr>
            <w:fldChar w:fldCharType="separate"/>
          </w:r>
          <w:r w:rsidRPr="00996987">
            <w:rPr>
              <w:rStyle w:val="PageNumber"/>
              <w:rFonts w:cs="Arial"/>
              <w:sz w:val="22"/>
              <w:szCs w:val="22"/>
            </w:rPr>
            <w:t>8</w:t>
          </w:r>
          <w:r w:rsidRPr="00996987">
            <w:rPr>
              <w:rStyle w:val="PageNumber"/>
              <w:rFonts w:cs="Arial"/>
              <w:sz w:val="22"/>
              <w:szCs w:val="22"/>
            </w:rPr>
            <w:fldChar w:fldCharType="end"/>
          </w:r>
        </w:p>
      </w:tc>
    </w:tr>
  </w:tbl>
  <w:p w14:paraId="2107F24D" w14:textId="77777777" w:rsidR="00E22D4B" w:rsidRPr="00996987" w:rsidRDefault="00E22D4B" w:rsidP="00996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5D57A" w14:textId="77777777" w:rsidR="00476639" w:rsidRDefault="00476639">
      <w:pPr>
        <w:spacing w:after="0" w:line="240" w:lineRule="auto"/>
      </w:pPr>
      <w:r>
        <w:separator/>
      </w:r>
    </w:p>
  </w:footnote>
  <w:footnote w:type="continuationSeparator" w:id="0">
    <w:p w14:paraId="094E1EB3" w14:textId="77777777" w:rsidR="00476639" w:rsidRDefault="00476639">
      <w:pPr>
        <w:spacing w:after="0" w:line="240" w:lineRule="auto"/>
      </w:pPr>
      <w:r>
        <w:continuationSeparator/>
      </w:r>
    </w:p>
  </w:footnote>
  <w:footnote w:type="continuationNotice" w:id="1">
    <w:p w14:paraId="30C1DAB8" w14:textId="77777777" w:rsidR="00476639" w:rsidRDefault="004766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A7"/>
    <w:multiLevelType w:val="hybridMultilevel"/>
    <w:tmpl w:val="9B80E402"/>
    <w:lvl w:ilvl="0" w:tplc="36F23CBC">
      <w:start w:val="1"/>
      <w:numFmt w:val="decimal"/>
      <w:lvlText w:val="%1."/>
      <w:lvlJc w:val="left"/>
      <w:pPr>
        <w:ind w:left="720" w:hanging="360"/>
      </w:pPr>
      <w:rPr>
        <w:rFonts w:hint="default"/>
        <w:b/>
      </w:rPr>
    </w:lvl>
    <w:lvl w:ilvl="1" w:tplc="6478C666" w:tentative="1">
      <w:start w:val="1"/>
      <w:numFmt w:val="lowerLetter"/>
      <w:lvlText w:val="%2."/>
      <w:lvlJc w:val="left"/>
      <w:pPr>
        <w:ind w:left="1440" w:hanging="360"/>
      </w:pPr>
    </w:lvl>
    <w:lvl w:ilvl="2" w:tplc="D06660A2" w:tentative="1">
      <w:start w:val="1"/>
      <w:numFmt w:val="lowerRoman"/>
      <w:lvlText w:val="%3."/>
      <w:lvlJc w:val="right"/>
      <w:pPr>
        <w:ind w:left="2160" w:hanging="180"/>
      </w:pPr>
    </w:lvl>
    <w:lvl w:ilvl="3" w:tplc="A6B6FDE0" w:tentative="1">
      <w:start w:val="1"/>
      <w:numFmt w:val="decimal"/>
      <w:lvlText w:val="%4."/>
      <w:lvlJc w:val="left"/>
      <w:pPr>
        <w:ind w:left="2880" w:hanging="360"/>
      </w:pPr>
    </w:lvl>
    <w:lvl w:ilvl="4" w:tplc="299CA0BC" w:tentative="1">
      <w:start w:val="1"/>
      <w:numFmt w:val="lowerLetter"/>
      <w:lvlText w:val="%5."/>
      <w:lvlJc w:val="left"/>
      <w:pPr>
        <w:ind w:left="3600" w:hanging="360"/>
      </w:pPr>
    </w:lvl>
    <w:lvl w:ilvl="5" w:tplc="E050F824" w:tentative="1">
      <w:start w:val="1"/>
      <w:numFmt w:val="lowerRoman"/>
      <w:lvlText w:val="%6."/>
      <w:lvlJc w:val="right"/>
      <w:pPr>
        <w:ind w:left="4320" w:hanging="180"/>
      </w:pPr>
    </w:lvl>
    <w:lvl w:ilvl="6" w:tplc="151E6314" w:tentative="1">
      <w:start w:val="1"/>
      <w:numFmt w:val="decimal"/>
      <w:lvlText w:val="%7."/>
      <w:lvlJc w:val="left"/>
      <w:pPr>
        <w:ind w:left="5040" w:hanging="360"/>
      </w:pPr>
    </w:lvl>
    <w:lvl w:ilvl="7" w:tplc="7870D6E0" w:tentative="1">
      <w:start w:val="1"/>
      <w:numFmt w:val="lowerLetter"/>
      <w:lvlText w:val="%8."/>
      <w:lvlJc w:val="left"/>
      <w:pPr>
        <w:ind w:left="5760" w:hanging="360"/>
      </w:pPr>
    </w:lvl>
    <w:lvl w:ilvl="8" w:tplc="D478A87A" w:tentative="1">
      <w:start w:val="1"/>
      <w:numFmt w:val="lowerRoman"/>
      <w:lvlText w:val="%9."/>
      <w:lvlJc w:val="right"/>
      <w:pPr>
        <w:ind w:left="6480" w:hanging="180"/>
      </w:pPr>
    </w:lvl>
  </w:abstractNum>
  <w:abstractNum w:abstractNumId="1" w15:restartNumberingAfterBreak="0">
    <w:nsid w:val="03E047B5"/>
    <w:multiLevelType w:val="hybridMultilevel"/>
    <w:tmpl w:val="6486E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690895"/>
    <w:multiLevelType w:val="multilevel"/>
    <w:tmpl w:val="E328FD10"/>
    <w:lvl w:ilvl="0">
      <w:start w:val="1"/>
      <w:numFmt w:val="decimal"/>
      <w:lvlText w:val="%1.0"/>
      <w:lvlJc w:val="left"/>
      <w:pPr>
        <w:ind w:left="360" w:hanging="360"/>
      </w:pPr>
      <w:rPr>
        <w:rFonts w:hint="default"/>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17" w:hanging="360"/>
      </w:pPr>
      <w:rPr>
        <w:rFonts w:hint="default"/>
      </w:rPr>
    </w:lvl>
    <w:lvl w:ilvl="2">
      <w:start w:val="1"/>
      <w:numFmt w:val="decimal"/>
      <w:lvlText w:val="%1.%2.%3."/>
      <w:lvlJc w:val="left"/>
      <w:pPr>
        <w:ind w:left="1933" w:hanging="504"/>
      </w:pPr>
      <w:rPr>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 w15:restartNumberingAfterBreak="0">
    <w:nsid w:val="088A3BFF"/>
    <w:multiLevelType w:val="hybridMultilevel"/>
    <w:tmpl w:val="E0D292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B77ED"/>
    <w:multiLevelType w:val="hybridMultilevel"/>
    <w:tmpl w:val="8AF67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9364EB"/>
    <w:multiLevelType w:val="hybridMultilevel"/>
    <w:tmpl w:val="4F32A6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BD44A4"/>
    <w:multiLevelType w:val="hybridMultilevel"/>
    <w:tmpl w:val="00CC0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37FED"/>
    <w:multiLevelType w:val="hybridMultilevel"/>
    <w:tmpl w:val="E744C3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135A1A4E"/>
    <w:multiLevelType w:val="hybridMultilevel"/>
    <w:tmpl w:val="8C60D0A4"/>
    <w:lvl w:ilvl="0" w:tplc="1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BD0089"/>
    <w:multiLevelType w:val="hybridMultilevel"/>
    <w:tmpl w:val="547C7E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8007B22"/>
    <w:multiLevelType w:val="multilevel"/>
    <w:tmpl w:val="22C668FC"/>
    <w:lvl w:ilvl="0">
      <w:start w:val="1"/>
      <w:numFmt w:val="decimal"/>
      <w:lvlText w:val="%1.0"/>
      <w:lvlJc w:val="left"/>
      <w:pPr>
        <w:ind w:left="360" w:hanging="360"/>
      </w:pPr>
      <w:rPr>
        <w:rFonts w:hint="default"/>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29" w:hanging="360"/>
      </w:pPr>
      <w:rPr>
        <w:rFonts w:ascii="Symbol" w:hAnsi="Symbol" w:hint="default"/>
      </w:rPr>
    </w:lvl>
    <w:lvl w:ilvl="2">
      <w:start w:val="1"/>
      <w:numFmt w:val="decimal"/>
      <w:lvlText w:val="%1.%2.%3."/>
      <w:lvlJc w:val="left"/>
      <w:pPr>
        <w:ind w:left="1933" w:hanging="504"/>
      </w:pPr>
      <w:rPr>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1" w15:restartNumberingAfterBreak="0">
    <w:nsid w:val="1970108E"/>
    <w:multiLevelType w:val="hybridMultilevel"/>
    <w:tmpl w:val="E37EE46E"/>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C50AD7"/>
    <w:multiLevelType w:val="multilevel"/>
    <w:tmpl w:val="97562C3C"/>
    <w:lvl w:ilvl="0">
      <w:start w:val="1"/>
      <w:numFmt w:val="bullet"/>
      <w:lvlText w:val=""/>
      <w:lvlJc w:val="left"/>
      <w:pPr>
        <w:ind w:left="360" w:hanging="360"/>
      </w:pPr>
      <w:rPr>
        <w:rFonts w:ascii="Symbol" w:hAnsi="Symbol" w:hint="default"/>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29" w:hanging="360"/>
      </w:pPr>
      <w:rPr>
        <w:rFonts w:ascii="Symbol" w:hAnsi="Symbol" w:hint="default"/>
      </w:rPr>
    </w:lvl>
    <w:lvl w:ilvl="2">
      <w:start w:val="1"/>
      <w:numFmt w:val="decimal"/>
      <w:lvlText w:val="%1.%2.%3."/>
      <w:lvlJc w:val="left"/>
      <w:pPr>
        <w:ind w:left="1933" w:hanging="504"/>
      </w:pPr>
      <w:rPr>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3" w15:restartNumberingAfterBreak="0">
    <w:nsid w:val="1DDE7981"/>
    <w:multiLevelType w:val="hybridMultilevel"/>
    <w:tmpl w:val="20047E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1E444D40"/>
    <w:multiLevelType w:val="hybridMultilevel"/>
    <w:tmpl w:val="C04A8FB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F63CF0"/>
    <w:multiLevelType w:val="hybridMultilevel"/>
    <w:tmpl w:val="585090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185212C"/>
    <w:multiLevelType w:val="hybridMultilevel"/>
    <w:tmpl w:val="A294A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56C9D"/>
    <w:multiLevelType w:val="multilevel"/>
    <w:tmpl w:val="97562C3C"/>
    <w:lvl w:ilvl="0">
      <w:start w:val="1"/>
      <w:numFmt w:val="bullet"/>
      <w:lvlText w:val=""/>
      <w:lvlJc w:val="left"/>
      <w:pPr>
        <w:ind w:left="720" w:hanging="360"/>
      </w:pPr>
      <w:rPr>
        <w:rFonts w:ascii="Symbol" w:hAnsi="Symbol" w:hint="default"/>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789" w:hanging="360"/>
      </w:pPr>
      <w:rPr>
        <w:rFonts w:ascii="Symbol" w:hAnsi="Symbol" w:hint="default"/>
      </w:rPr>
    </w:lvl>
    <w:lvl w:ilvl="2">
      <w:start w:val="1"/>
      <w:numFmt w:val="decimal"/>
      <w:lvlText w:val="%1.%2.%3."/>
      <w:lvlJc w:val="left"/>
      <w:pPr>
        <w:ind w:left="2293" w:hanging="504"/>
      </w:pPr>
      <w:rPr>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79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18" w15:restartNumberingAfterBreak="0">
    <w:nsid w:val="26C2265C"/>
    <w:multiLevelType w:val="hybridMultilevel"/>
    <w:tmpl w:val="C7DAB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6CB7AF1"/>
    <w:multiLevelType w:val="hybridMultilevel"/>
    <w:tmpl w:val="8F80B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6DB55F4"/>
    <w:multiLevelType w:val="hybridMultilevel"/>
    <w:tmpl w:val="9870A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8BF62E9"/>
    <w:multiLevelType w:val="hybridMultilevel"/>
    <w:tmpl w:val="A8CC0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98A52EC"/>
    <w:multiLevelType w:val="hybridMultilevel"/>
    <w:tmpl w:val="D3EC99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B3B24BD"/>
    <w:multiLevelType w:val="hybridMultilevel"/>
    <w:tmpl w:val="1D721B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F2A2ABB"/>
    <w:multiLevelType w:val="hybridMultilevel"/>
    <w:tmpl w:val="153E2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22272CE"/>
    <w:multiLevelType w:val="hybridMultilevel"/>
    <w:tmpl w:val="56AC5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24008C2"/>
    <w:multiLevelType w:val="hybridMultilevel"/>
    <w:tmpl w:val="DDD48B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5748F9"/>
    <w:multiLevelType w:val="hybridMultilevel"/>
    <w:tmpl w:val="66B0FB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39A5177"/>
    <w:multiLevelType w:val="hybridMultilevel"/>
    <w:tmpl w:val="4E06A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6081256"/>
    <w:multiLevelType w:val="hybridMultilevel"/>
    <w:tmpl w:val="5AD4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5F219D"/>
    <w:multiLevelType w:val="hybridMultilevel"/>
    <w:tmpl w:val="C00057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6D41EED"/>
    <w:multiLevelType w:val="multilevel"/>
    <w:tmpl w:val="890AEE94"/>
    <w:lvl w:ilvl="0">
      <w:start w:val="1"/>
      <w:numFmt w:val="decimal"/>
      <w:lvlText w:val="%1.0"/>
      <w:lvlJc w:val="left"/>
      <w:pPr>
        <w:ind w:left="360" w:hanging="360"/>
      </w:pPr>
      <w:rPr>
        <w:rFonts w:hint="default"/>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5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bullet"/>
      <w:lvlText w:val=""/>
      <w:lvlJc w:val="left"/>
      <w:pPr>
        <w:ind w:left="1789" w:hanging="360"/>
      </w:pPr>
      <w:rPr>
        <w:rFonts w:ascii="Symbol" w:hAnsi="Symbol" w:hint="default"/>
      </w:rPr>
    </w:lvl>
    <w:lvl w:ilvl="3">
      <w:start w:val="1"/>
      <w:numFmt w:val="decimal"/>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2" w15:restartNumberingAfterBreak="0">
    <w:nsid w:val="3A614BC5"/>
    <w:multiLevelType w:val="hybridMultilevel"/>
    <w:tmpl w:val="165E9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3A9933C1"/>
    <w:multiLevelType w:val="hybridMultilevel"/>
    <w:tmpl w:val="EF58A7E0"/>
    <w:lvl w:ilvl="0" w:tplc="1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C666585"/>
    <w:multiLevelType w:val="hybridMultilevel"/>
    <w:tmpl w:val="7F5EB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CA37FF2"/>
    <w:multiLevelType w:val="hybridMultilevel"/>
    <w:tmpl w:val="82E885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3FE62DBF"/>
    <w:multiLevelType w:val="hybridMultilevel"/>
    <w:tmpl w:val="6A281DC8"/>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4A6718"/>
    <w:multiLevelType w:val="hybridMultilevel"/>
    <w:tmpl w:val="A39C1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14C5497"/>
    <w:multiLevelType w:val="hybridMultilevel"/>
    <w:tmpl w:val="D73C9AE2"/>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43A270CE"/>
    <w:multiLevelType w:val="hybridMultilevel"/>
    <w:tmpl w:val="D54C62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45923802"/>
    <w:multiLevelType w:val="hybridMultilevel"/>
    <w:tmpl w:val="E7C2A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7415469"/>
    <w:multiLevelType w:val="hybridMultilevel"/>
    <w:tmpl w:val="6720CD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48D25BED"/>
    <w:multiLevelType w:val="hybridMultilevel"/>
    <w:tmpl w:val="9374684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49673622"/>
    <w:multiLevelType w:val="hybridMultilevel"/>
    <w:tmpl w:val="EC04D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4BFB0F5D"/>
    <w:multiLevelType w:val="hybridMultilevel"/>
    <w:tmpl w:val="1FB82EC4"/>
    <w:lvl w:ilvl="0" w:tplc="F8649FEE">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4C48243C"/>
    <w:multiLevelType w:val="multilevel"/>
    <w:tmpl w:val="22C668FC"/>
    <w:lvl w:ilvl="0">
      <w:start w:val="1"/>
      <w:numFmt w:val="decimal"/>
      <w:lvlText w:val="%1.0"/>
      <w:lvlJc w:val="left"/>
      <w:pPr>
        <w:ind w:left="360" w:hanging="360"/>
      </w:pPr>
      <w:rPr>
        <w:rFonts w:hint="default"/>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29" w:hanging="360"/>
      </w:pPr>
      <w:rPr>
        <w:rFonts w:ascii="Symbol" w:hAnsi="Symbol" w:hint="default"/>
      </w:rPr>
    </w:lvl>
    <w:lvl w:ilvl="2">
      <w:start w:val="1"/>
      <w:numFmt w:val="decimal"/>
      <w:lvlText w:val="%1.%2.%3."/>
      <w:lvlJc w:val="left"/>
      <w:pPr>
        <w:ind w:left="1933" w:hanging="504"/>
      </w:pPr>
      <w:rPr>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6" w15:restartNumberingAfterBreak="0">
    <w:nsid w:val="4D753883"/>
    <w:multiLevelType w:val="multilevel"/>
    <w:tmpl w:val="97562C3C"/>
    <w:lvl w:ilvl="0">
      <w:start w:val="1"/>
      <w:numFmt w:val="bullet"/>
      <w:lvlText w:val=""/>
      <w:lvlJc w:val="left"/>
      <w:pPr>
        <w:ind w:left="360" w:hanging="360"/>
      </w:pPr>
      <w:rPr>
        <w:rFonts w:ascii="Symbol" w:hAnsi="Symbol" w:hint="default"/>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29" w:hanging="360"/>
      </w:pPr>
      <w:rPr>
        <w:rFonts w:ascii="Symbol" w:hAnsi="Symbol" w:hint="default"/>
      </w:rPr>
    </w:lvl>
    <w:lvl w:ilvl="2">
      <w:start w:val="1"/>
      <w:numFmt w:val="decimal"/>
      <w:lvlText w:val="%1.%2.%3."/>
      <w:lvlJc w:val="left"/>
      <w:pPr>
        <w:ind w:left="1933" w:hanging="504"/>
      </w:pPr>
      <w:rPr>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7" w15:restartNumberingAfterBreak="0">
    <w:nsid w:val="5073119B"/>
    <w:multiLevelType w:val="hybridMultilevel"/>
    <w:tmpl w:val="94E46BBE"/>
    <w:lvl w:ilvl="0" w:tplc="422AACE0">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8" w15:restartNumberingAfterBreak="0">
    <w:nsid w:val="51BA073D"/>
    <w:multiLevelType w:val="hybridMultilevel"/>
    <w:tmpl w:val="ACA82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32911BC"/>
    <w:multiLevelType w:val="hybridMultilevel"/>
    <w:tmpl w:val="0156A6B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56D6DAF"/>
    <w:multiLevelType w:val="hybridMultilevel"/>
    <w:tmpl w:val="518CD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56321691"/>
    <w:multiLevelType w:val="hybridMultilevel"/>
    <w:tmpl w:val="910CFF36"/>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5C3D80"/>
    <w:multiLevelType w:val="hybridMultilevel"/>
    <w:tmpl w:val="D7265246"/>
    <w:lvl w:ilvl="0" w:tplc="F8649FEE">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58812043"/>
    <w:multiLevelType w:val="hybridMultilevel"/>
    <w:tmpl w:val="A46AE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588A5CBC"/>
    <w:multiLevelType w:val="hybridMultilevel"/>
    <w:tmpl w:val="4282E3C0"/>
    <w:lvl w:ilvl="0" w:tplc="42644FA0">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5" w15:restartNumberingAfterBreak="0">
    <w:nsid w:val="5EE67A98"/>
    <w:multiLevelType w:val="hybridMultilevel"/>
    <w:tmpl w:val="B5283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1651886"/>
    <w:multiLevelType w:val="multilevel"/>
    <w:tmpl w:val="B552A752"/>
    <w:lvl w:ilvl="0">
      <w:start w:val="1"/>
      <w:numFmt w:val="bullet"/>
      <w:lvlText w:val=""/>
      <w:lvlJc w:val="left"/>
      <w:pPr>
        <w:ind w:left="1080" w:hanging="360"/>
      </w:pPr>
      <w:rPr>
        <w:rFonts w:ascii="Symbol" w:hAnsi="Symbol" w:hint="default"/>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149" w:hanging="360"/>
      </w:pPr>
      <w:rPr>
        <w:rFonts w:ascii="Symbol" w:hAnsi="Symbol" w:hint="default"/>
      </w:rPr>
    </w:lvl>
    <w:lvl w:ilvl="2">
      <w:start w:val="1"/>
      <w:numFmt w:val="decimal"/>
      <w:lvlText w:val="%1.%2.%3."/>
      <w:lvlJc w:val="left"/>
      <w:pPr>
        <w:ind w:left="2653" w:hanging="504"/>
      </w:pPr>
      <w:rPr>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5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3661" w:hanging="792"/>
      </w:pPr>
    </w:lvl>
    <w:lvl w:ilvl="5">
      <w:start w:val="1"/>
      <w:numFmt w:val="decimal"/>
      <w:lvlText w:val="%1.%2.%3.%4.%5.%6."/>
      <w:lvlJc w:val="left"/>
      <w:pPr>
        <w:ind w:left="4165" w:hanging="936"/>
      </w:pPr>
    </w:lvl>
    <w:lvl w:ilvl="6">
      <w:start w:val="1"/>
      <w:numFmt w:val="decimal"/>
      <w:lvlText w:val="%1.%2.%3.%4.%5.%6.%7."/>
      <w:lvlJc w:val="left"/>
      <w:pPr>
        <w:ind w:left="4669" w:hanging="1080"/>
      </w:pPr>
    </w:lvl>
    <w:lvl w:ilvl="7">
      <w:start w:val="1"/>
      <w:numFmt w:val="decimal"/>
      <w:lvlText w:val="%1.%2.%3.%4.%5.%6.%7.%8."/>
      <w:lvlJc w:val="left"/>
      <w:pPr>
        <w:ind w:left="5173" w:hanging="1224"/>
      </w:pPr>
    </w:lvl>
    <w:lvl w:ilvl="8">
      <w:start w:val="1"/>
      <w:numFmt w:val="decimal"/>
      <w:lvlText w:val="%1.%2.%3.%4.%5.%6.%7.%8.%9."/>
      <w:lvlJc w:val="left"/>
      <w:pPr>
        <w:ind w:left="5749" w:hanging="1440"/>
      </w:pPr>
    </w:lvl>
  </w:abstractNum>
  <w:abstractNum w:abstractNumId="57" w15:restartNumberingAfterBreak="0">
    <w:nsid w:val="623436BA"/>
    <w:multiLevelType w:val="hybridMultilevel"/>
    <w:tmpl w:val="1DDE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92147B"/>
    <w:multiLevelType w:val="hybridMultilevel"/>
    <w:tmpl w:val="CC46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360E01"/>
    <w:multiLevelType w:val="hybridMultilevel"/>
    <w:tmpl w:val="E74C01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674476B0"/>
    <w:multiLevelType w:val="hybridMultilevel"/>
    <w:tmpl w:val="2598C6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696F2145"/>
    <w:multiLevelType w:val="hybridMultilevel"/>
    <w:tmpl w:val="FFB2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FF7488"/>
    <w:multiLevelType w:val="hybridMultilevel"/>
    <w:tmpl w:val="92E4C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CD74CFE"/>
    <w:multiLevelType w:val="hybridMultilevel"/>
    <w:tmpl w:val="E30E4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6CDC0999"/>
    <w:multiLevelType w:val="hybridMultilevel"/>
    <w:tmpl w:val="EA348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E9D4A2A"/>
    <w:multiLevelType w:val="singleLevel"/>
    <w:tmpl w:val="6A5CBD46"/>
    <w:lvl w:ilvl="0">
      <w:start w:val="1"/>
      <w:numFmt w:val="bullet"/>
      <w:pStyle w:val="D1Bullet"/>
      <w:lvlText w:val=""/>
      <w:lvlJc w:val="left"/>
      <w:pPr>
        <w:ind w:left="717" w:hanging="360"/>
      </w:pPr>
      <w:rPr>
        <w:rFonts w:ascii="Symbol" w:hAnsi="Symbol" w:hint="default"/>
        <w:color w:val="auto"/>
        <w:sz w:val="24"/>
      </w:rPr>
    </w:lvl>
  </w:abstractNum>
  <w:abstractNum w:abstractNumId="66" w15:restartNumberingAfterBreak="0">
    <w:nsid w:val="6EC246C6"/>
    <w:multiLevelType w:val="hybridMultilevel"/>
    <w:tmpl w:val="72D833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743720FA"/>
    <w:multiLevelType w:val="hybridMultilevel"/>
    <w:tmpl w:val="90A20F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9C57F1"/>
    <w:multiLevelType w:val="hybridMultilevel"/>
    <w:tmpl w:val="22A8D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597701F"/>
    <w:multiLevelType w:val="hybridMultilevel"/>
    <w:tmpl w:val="780854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763D5B71"/>
    <w:multiLevelType w:val="hybridMultilevel"/>
    <w:tmpl w:val="AC3C25C6"/>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F07B07"/>
    <w:multiLevelType w:val="hybridMultilevel"/>
    <w:tmpl w:val="2FECE590"/>
    <w:lvl w:ilvl="0" w:tplc="1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9A046E2"/>
    <w:multiLevelType w:val="hybridMultilevel"/>
    <w:tmpl w:val="1C265A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79EB726F"/>
    <w:multiLevelType w:val="hybridMultilevel"/>
    <w:tmpl w:val="9F588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7AD931B5"/>
    <w:multiLevelType w:val="hybridMultilevel"/>
    <w:tmpl w:val="39248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7B21790E"/>
    <w:multiLevelType w:val="hybridMultilevel"/>
    <w:tmpl w:val="6F2C4808"/>
    <w:lvl w:ilvl="0" w:tplc="18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6" w15:restartNumberingAfterBreak="0">
    <w:nsid w:val="7E846A43"/>
    <w:multiLevelType w:val="hybridMultilevel"/>
    <w:tmpl w:val="D0DE8D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7" w15:restartNumberingAfterBreak="0">
    <w:nsid w:val="7F314D88"/>
    <w:multiLevelType w:val="multilevel"/>
    <w:tmpl w:val="8242A9A8"/>
    <w:lvl w:ilvl="0">
      <w:start w:val="1"/>
      <w:numFmt w:val="decimal"/>
      <w:pStyle w:val="EHead1"/>
      <w:lvlText w:val="%1.0"/>
      <w:lvlJc w:val="left"/>
      <w:pPr>
        <w:ind w:left="360" w:hanging="360"/>
      </w:pPr>
      <w:rPr>
        <w:lang w:bidi="x-none"/>
        <w:specVanish w:val="0"/>
      </w:rPr>
    </w:lvl>
    <w:lvl w:ilvl="1">
      <w:start w:val="1"/>
      <w:numFmt w:val="decimal"/>
      <w:pStyle w:val="BBody1"/>
      <w:lvlText w:val="%1.%2."/>
      <w:lvlJc w:val="left"/>
      <w:pPr>
        <w:ind w:left="1501" w:hanging="432"/>
      </w:pPr>
      <w:rPr>
        <w:lang w:bidi="x-none"/>
        <w:specVanish w:val="0"/>
      </w:rPr>
    </w:lvl>
    <w:lvl w:ilvl="2">
      <w:start w:val="1"/>
      <w:numFmt w:val="decimal"/>
      <w:pStyle w:val="Heading3"/>
      <w:lvlText w:val="%1.%2.%3."/>
      <w:lvlJc w:val="left"/>
      <w:pPr>
        <w:ind w:left="1933" w:hanging="504"/>
      </w:pPr>
      <w:rPr>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16cid:durableId="37971910">
    <w:abstractNumId w:val="77"/>
  </w:num>
  <w:num w:numId="2" w16cid:durableId="1060250781">
    <w:abstractNumId w:val="65"/>
  </w:num>
  <w:num w:numId="3" w16cid:durableId="991061089">
    <w:abstractNumId w:val="0"/>
  </w:num>
  <w:num w:numId="4" w16cid:durableId="645861617">
    <w:abstractNumId w:val="47"/>
  </w:num>
  <w:num w:numId="5" w16cid:durableId="1090587307">
    <w:abstractNumId w:val="2"/>
  </w:num>
  <w:num w:numId="6" w16cid:durableId="1799256346">
    <w:abstractNumId w:val="29"/>
  </w:num>
  <w:num w:numId="7" w16cid:durableId="1932616480">
    <w:abstractNumId w:val="54"/>
  </w:num>
  <w:num w:numId="8" w16cid:durableId="1066612163">
    <w:abstractNumId w:val="57"/>
  </w:num>
  <w:num w:numId="9" w16cid:durableId="797335723">
    <w:abstractNumId w:val="62"/>
  </w:num>
  <w:num w:numId="10" w16cid:durableId="973827516">
    <w:abstractNumId w:val="34"/>
  </w:num>
  <w:num w:numId="11" w16cid:durableId="501311090">
    <w:abstractNumId w:val="27"/>
  </w:num>
  <w:num w:numId="12" w16cid:durableId="1646664682">
    <w:abstractNumId w:val="40"/>
  </w:num>
  <w:num w:numId="13" w16cid:durableId="1015687938">
    <w:abstractNumId w:val="13"/>
  </w:num>
  <w:num w:numId="14" w16cid:durableId="142700491">
    <w:abstractNumId w:val="76"/>
  </w:num>
  <w:num w:numId="15" w16cid:durableId="1397363801">
    <w:abstractNumId w:val="42"/>
  </w:num>
  <w:num w:numId="16" w16cid:durableId="189682234">
    <w:abstractNumId w:val="24"/>
  </w:num>
  <w:num w:numId="17" w16cid:durableId="1934439038">
    <w:abstractNumId w:val="51"/>
  </w:num>
  <w:num w:numId="18" w16cid:durableId="108861092">
    <w:abstractNumId w:val="36"/>
  </w:num>
  <w:num w:numId="19" w16cid:durableId="1623658346">
    <w:abstractNumId w:val="70"/>
  </w:num>
  <w:num w:numId="20" w16cid:durableId="1707487381">
    <w:abstractNumId w:val="8"/>
  </w:num>
  <w:num w:numId="21" w16cid:durableId="690188410">
    <w:abstractNumId w:val="31"/>
  </w:num>
  <w:num w:numId="22" w16cid:durableId="979069875">
    <w:abstractNumId w:val="69"/>
  </w:num>
  <w:num w:numId="23" w16cid:durableId="1775906451">
    <w:abstractNumId w:val="68"/>
  </w:num>
  <w:num w:numId="24" w16cid:durableId="2000230775">
    <w:abstractNumId w:val="22"/>
  </w:num>
  <w:num w:numId="25" w16cid:durableId="1356074904">
    <w:abstractNumId w:val="74"/>
  </w:num>
  <w:num w:numId="26" w16cid:durableId="505294034">
    <w:abstractNumId w:val="26"/>
  </w:num>
  <w:num w:numId="27" w16cid:durableId="647561591">
    <w:abstractNumId w:val="64"/>
  </w:num>
  <w:num w:numId="28" w16cid:durableId="170537392">
    <w:abstractNumId w:val="61"/>
  </w:num>
  <w:num w:numId="29" w16cid:durableId="1975796853">
    <w:abstractNumId w:val="6"/>
  </w:num>
  <w:num w:numId="30" w16cid:durableId="1876305329">
    <w:abstractNumId w:val="16"/>
  </w:num>
  <w:num w:numId="31" w16cid:durableId="1046564295">
    <w:abstractNumId w:val="3"/>
  </w:num>
  <w:num w:numId="32" w16cid:durableId="882013043">
    <w:abstractNumId w:val="38"/>
  </w:num>
  <w:num w:numId="33" w16cid:durableId="94330412">
    <w:abstractNumId w:val="43"/>
  </w:num>
  <w:num w:numId="34" w16cid:durableId="159975948">
    <w:abstractNumId w:val="15"/>
  </w:num>
  <w:num w:numId="35" w16cid:durableId="41712757">
    <w:abstractNumId w:val="50"/>
  </w:num>
  <w:num w:numId="36" w16cid:durableId="1613317069">
    <w:abstractNumId w:val="55"/>
  </w:num>
  <w:num w:numId="37" w16cid:durableId="6175354">
    <w:abstractNumId w:val="71"/>
  </w:num>
  <w:num w:numId="38" w16cid:durableId="2054189321">
    <w:abstractNumId w:val="25"/>
  </w:num>
  <w:num w:numId="39" w16cid:durableId="203492098">
    <w:abstractNumId w:val="73"/>
  </w:num>
  <w:num w:numId="40" w16cid:durableId="369768265">
    <w:abstractNumId w:val="20"/>
  </w:num>
  <w:num w:numId="41" w16cid:durableId="1898779866">
    <w:abstractNumId w:val="28"/>
  </w:num>
  <w:num w:numId="42" w16cid:durableId="876741940">
    <w:abstractNumId w:val="41"/>
  </w:num>
  <w:num w:numId="43" w16cid:durableId="1882667818">
    <w:abstractNumId w:val="66"/>
  </w:num>
  <w:num w:numId="44" w16cid:durableId="930774066">
    <w:abstractNumId w:val="60"/>
  </w:num>
  <w:num w:numId="45" w16cid:durableId="629752138">
    <w:abstractNumId w:val="33"/>
  </w:num>
  <w:num w:numId="46" w16cid:durableId="1053580116">
    <w:abstractNumId w:val="11"/>
  </w:num>
  <w:num w:numId="47" w16cid:durableId="1822650586">
    <w:abstractNumId w:val="30"/>
  </w:num>
  <w:num w:numId="48" w16cid:durableId="946078989">
    <w:abstractNumId w:val="72"/>
  </w:num>
  <w:num w:numId="49" w16cid:durableId="756898954">
    <w:abstractNumId w:val="67"/>
  </w:num>
  <w:num w:numId="50" w16cid:durableId="2002390340">
    <w:abstractNumId w:val="9"/>
  </w:num>
  <w:num w:numId="51" w16cid:durableId="1881017847">
    <w:abstractNumId w:val="59"/>
  </w:num>
  <w:num w:numId="52" w16cid:durableId="1463188062">
    <w:abstractNumId w:val="37"/>
  </w:num>
  <w:num w:numId="53" w16cid:durableId="1879733848">
    <w:abstractNumId w:val="63"/>
  </w:num>
  <w:num w:numId="54" w16cid:durableId="1356813174">
    <w:abstractNumId w:val="19"/>
  </w:num>
  <w:num w:numId="55" w16cid:durableId="1927032494">
    <w:abstractNumId w:val="4"/>
  </w:num>
  <w:num w:numId="56" w16cid:durableId="1368411358">
    <w:abstractNumId w:val="18"/>
  </w:num>
  <w:num w:numId="57" w16cid:durableId="1631281116">
    <w:abstractNumId w:val="39"/>
  </w:num>
  <w:num w:numId="58" w16cid:durableId="1432892624">
    <w:abstractNumId w:val="35"/>
  </w:num>
  <w:num w:numId="59" w16cid:durableId="1024668985">
    <w:abstractNumId w:val="45"/>
  </w:num>
  <w:num w:numId="60" w16cid:durableId="491797491">
    <w:abstractNumId w:val="10"/>
  </w:num>
  <w:num w:numId="61" w16cid:durableId="2026513565">
    <w:abstractNumId w:val="56"/>
  </w:num>
  <w:num w:numId="62" w16cid:durableId="1251163223">
    <w:abstractNumId w:val="5"/>
  </w:num>
  <w:num w:numId="63" w16cid:durableId="522717237">
    <w:abstractNumId w:val="7"/>
  </w:num>
  <w:num w:numId="64" w16cid:durableId="160704044">
    <w:abstractNumId w:val="14"/>
  </w:num>
  <w:num w:numId="65" w16cid:durableId="1752770224">
    <w:abstractNumId w:val="58"/>
  </w:num>
  <w:num w:numId="66" w16cid:durableId="1836995536">
    <w:abstractNumId w:val="75"/>
  </w:num>
  <w:num w:numId="67" w16cid:durableId="589388961">
    <w:abstractNumId w:val="48"/>
  </w:num>
  <w:num w:numId="68" w16cid:durableId="1726222594">
    <w:abstractNumId w:val="23"/>
  </w:num>
  <w:num w:numId="69" w16cid:durableId="1857690964">
    <w:abstractNumId w:val="49"/>
  </w:num>
  <w:num w:numId="70" w16cid:durableId="608702433">
    <w:abstractNumId w:val="53"/>
  </w:num>
  <w:num w:numId="71" w16cid:durableId="192158840">
    <w:abstractNumId w:val="46"/>
  </w:num>
  <w:num w:numId="72" w16cid:durableId="616912892">
    <w:abstractNumId w:val="12"/>
  </w:num>
  <w:num w:numId="73" w16cid:durableId="1757701050">
    <w:abstractNumId w:val="17"/>
  </w:num>
  <w:num w:numId="74" w16cid:durableId="1266496894">
    <w:abstractNumId w:val="1"/>
  </w:num>
  <w:num w:numId="75" w16cid:durableId="1798448817">
    <w:abstractNumId w:val="32"/>
  </w:num>
  <w:num w:numId="76" w16cid:durableId="53629373">
    <w:abstractNumId w:val="52"/>
  </w:num>
  <w:num w:numId="77" w16cid:durableId="1906139961">
    <w:abstractNumId w:val="44"/>
  </w:num>
  <w:num w:numId="78" w16cid:durableId="640842187">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CA"/>
    <w:rsid w:val="000012D2"/>
    <w:rsid w:val="00001437"/>
    <w:rsid w:val="000014F2"/>
    <w:rsid w:val="0000230D"/>
    <w:rsid w:val="000029B2"/>
    <w:rsid w:val="000030B0"/>
    <w:rsid w:val="0000344B"/>
    <w:rsid w:val="00003DC1"/>
    <w:rsid w:val="0000401F"/>
    <w:rsid w:val="000047E1"/>
    <w:rsid w:val="00004BFD"/>
    <w:rsid w:val="00004C40"/>
    <w:rsid w:val="00004CFD"/>
    <w:rsid w:val="0000513F"/>
    <w:rsid w:val="00005467"/>
    <w:rsid w:val="0000559C"/>
    <w:rsid w:val="000055C5"/>
    <w:rsid w:val="0000645A"/>
    <w:rsid w:val="000068B3"/>
    <w:rsid w:val="00006BBE"/>
    <w:rsid w:val="000070E1"/>
    <w:rsid w:val="000075B7"/>
    <w:rsid w:val="000079ED"/>
    <w:rsid w:val="00007DEB"/>
    <w:rsid w:val="00010275"/>
    <w:rsid w:val="00010624"/>
    <w:rsid w:val="00011C15"/>
    <w:rsid w:val="000122B7"/>
    <w:rsid w:val="00012652"/>
    <w:rsid w:val="000128FA"/>
    <w:rsid w:val="0001304A"/>
    <w:rsid w:val="000137A0"/>
    <w:rsid w:val="00013B9A"/>
    <w:rsid w:val="00014CB5"/>
    <w:rsid w:val="000150F7"/>
    <w:rsid w:val="00015232"/>
    <w:rsid w:val="0001614E"/>
    <w:rsid w:val="000164FD"/>
    <w:rsid w:val="00016BBA"/>
    <w:rsid w:val="0001729E"/>
    <w:rsid w:val="00017A98"/>
    <w:rsid w:val="0002014A"/>
    <w:rsid w:val="00020B24"/>
    <w:rsid w:val="00020BCD"/>
    <w:rsid w:val="00020E5C"/>
    <w:rsid w:val="00021088"/>
    <w:rsid w:val="00021264"/>
    <w:rsid w:val="00021374"/>
    <w:rsid w:val="00021500"/>
    <w:rsid w:val="00021680"/>
    <w:rsid w:val="00021CE8"/>
    <w:rsid w:val="00021F56"/>
    <w:rsid w:val="00022242"/>
    <w:rsid w:val="0002290A"/>
    <w:rsid w:val="00023B7B"/>
    <w:rsid w:val="00023C10"/>
    <w:rsid w:val="00024742"/>
    <w:rsid w:val="00024C33"/>
    <w:rsid w:val="00024F43"/>
    <w:rsid w:val="00025169"/>
    <w:rsid w:val="00025718"/>
    <w:rsid w:val="00026BB0"/>
    <w:rsid w:val="00027376"/>
    <w:rsid w:val="00027477"/>
    <w:rsid w:val="000274A7"/>
    <w:rsid w:val="000275BA"/>
    <w:rsid w:val="00027F22"/>
    <w:rsid w:val="00030112"/>
    <w:rsid w:val="000302A6"/>
    <w:rsid w:val="0003034D"/>
    <w:rsid w:val="00031A41"/>
    <w:rsid w:val="00031FF4"/>
    <w:rsid w:val="00032256"/>
    <w:rsid w:val="000341FB"/>
    <w:rsid w:val="00034395"/>
    <w:rsid w:val="00034943"/>
    <w:rsid w:val="00034947"/>
    <w:rsid w:val="00035057"/>
    <w:rsid w:val="000352B3"/>
    <w:rsid w:val="000355F5"/>
    <w:rsid w:val="00035AC3"/>
    <w:rsid w:val="00035E14"/>
    <w:rsid w:val="000364CF"/>
    <w:rsid w:val="00036B9C"/>
    <w:rsid w:val="00037050"/>
    <w:rsid w:val="00040005"/>
    <w:rsid w:val="000401AB"/>
    <w:rsid w:val="00040321"/>
    <w:rsid w:val="00040406"/>
    <w:rsid w:val="000410AA"/>
    <w:rsid w:val="00041A0B"/>
    <w:rsid w:val="00042630"/>
    <w:rsid w:val="000426CC"/>
    <w:rsid w:val="00043987"/>
    <w:rsid w:val="000447D2"/>
    <w:rsid w:val="000448A4"/>
    <w:rsid w:val="00044991"/>
    <w:rsid w:val="000449F7"/>
    <w:rsid w:val="00044DB2"/>
    <w:rsid w:val="00045EFE"/>
    <w:rsid w:val="0004678D"/>
    <w:rsid w:val="000469C2"/>
    <w:rsid w:val="00046E1B"/>
    <w:rsid w:val="000477AA"/>
    <w:rsid w:val="00047FE8"/>
    <w:rsid w:val="0005044F"/>
    <w:rsid w:val="00051084"/>
    <w:rsid w:val="000516D0"/>
    <w:rsid w:val="00051ADA"/>
    <w:rsid w:val="00052211"/>
    <w:rsid w:val="000526AD"/>
    <w:rsid w:val="000527BA"/>
    <w:rsid w:val="00052913"/>
    <w:rsid w:val="00052979"/>
    <w:rsid w:val="00053BA4"/>
    <w:rsid w:val="00053DEF"/>
    <w:rsid w:val="00054694"/>
    <w:rsid w:val="000548ED"/>
    <w:rsid w:val="00054AFC"/>
    <w:rsid w:val="0005502A"/>
    <w:rsid w:val="000553E0"/>
    <w:rsid w:val="0005557F"/>
    <w:rsid w:val="000557DA"/>
    <w:rsid w:val="00055AFB"/>
    <w:rsid w:val="00055E1D"/>
    <w:rsid w:val="000566EE"/>
    <w:rsid w:val="0005678D"/>
    <w:rsid w:val="00056824"/>
    <w:rsid w:val="00056983"/>
    <w:rsid w:val="00056E6B"/>
    <w:rsid w:val="00057068"/>
    <w:rsid w:val="00057199"/>
    <w:rsid w:val="000573AF"/>
    <w:rsid w:val="00057811"/>
    <w:rsid w:val="00057D74"/>
    <w:rsid w:val="00060A9E"/>
    <w:rsid w:val="00061324"/>
    <w:rsid w:val="00061335"/>
    <w:rsid w:val="00061F57"/>
    <w:rsid w:val="00062675"/>
    <w:rsid w:val="00062BEB"/>
    <w:rsid w:val="00063D7D"/>
    <w:rsid w:val="00063F7C"/>
    <w:rsid w:val="00063F84"/>
    <w:rsid w:val="00064536"/>
    <w:rsid w:val="00064956"/>
    <w:rsid w:val="00065AE2"/>
    <w:rsid w:val="00065FD1"/>
    <w:rsid w:val="00066B09"/>
    <w:rsid w:val="00066F9C"/>
    <w:rsid w:val="000670C0"/>
    <w:rsid w:val="00067694"/>
    <w:rsid w:val="000676A1"/>
    <w:rsid w:val="000678AD"/>
    <w:rsid w:val="00067C39"/>
    <w:rsid w:val="00070720"/>
    <w:rsid w:val="0007093D"/>
    <w:rsid w:val="00070D27"/>
    <w:rsid w:val="0007166E"/>
    <w:rsid w:val="0007194C"/>
    <w:rsid w:val="0007256C"/>
    <w:rsid w:val="000726C4"/>
    <w:rsid w:val="00072D21"/>
    <w:rsid w:val="0007399F"/>
    <w:rsid w:val="00073AA7"/>
    <w:rsid w:val="00074C62"/>
    <w:rsid w:val="00074D4C"/>
    <w:rsid w:val="00074D89"/>
    <w:rsid w:val="00074E9D"/>
    <w:rsid w:val="00075324"/>
    <w:rsid w:val="000754E8"/>
    <w:rsid w:val="00077100"/>
    <w:rsid w:val="00077122"/>
    <w:rsid w:val="00077C35"/>
    <w:rsid w:val="00077E43"/>
    <w:rsid w:val="00080147"/>
    <w:rsid w:val="00080412"/>
    <w:rsid w:val="0008090C"/>
    <w:rsid w:val="00080A9E"/>
    <w:rsid w:val="0008113D"/>
    <w:rsid w:val="00081424"/>
    <w:rsid w:val="000823D9"/>
    <w:rsid w:val="000827FC"/>
    <w:rsid w:val="000831A1"/>
    <w:rsid w:val="000837D3"/>
    <w:rsid w:val="00083924"/>
    <w:rsid w:val="00083BD5"/>
    <w:rsid w:val="00083E3F"/>
    <w:rsid w:val="00084ACB"/>
    <w:rsid w:val="00085847"/>
    <w:rsid w:val="00085B6B"/>
    <w:rsid w:val="00086243"/>
    <w:rsid w:val="00086703"/>
    <w:rsid w:val="00086AED"/>
    <w:rsid w:val="00087279"/>
    <w:rsid w:val="00087362"/>
    <w:rsid w:val="0008756B"/>
    <w:rsid w:val="00090657"/>
    <w:rsid w:val="000911A9"/>
    <w:rsid w:val="00091352"/>
    <w:rsid w:val="000913B8"/>
    <w:rsid w:val="0009154A"/>
    <w:rsid w:val="0009198A"/>
    <w:rsid w:val="0009199D"/>
    <w:rsid w:val="00091DEB"/>
    <w:rsid w:val="00092064"/>
    <w:rsid w:val="000920F7"/>
    <w:rsid w:val="00092198"/>
    <w:rsid w:val="0009371B"/>
    <w:rsid w:val="000937CF"/>
    <w:rsid w:val="00093A3E"/>
    <w:rsid w:val="00094249"/>
    <w:rsid w:val="0009426E"/>
    <w:rsid w:val="00094C28"/>
    <w:rsid w:val="000955FD"/>
    <w:rsid w:val="0009579C"/>
    <w:rsid w:val="00095925"/>
    <w:rsid w:val="00096750"/>
    <w:rsid w:val="00096D4D"/>
    <w:rsid w:val="00097C8E"/>
    <w:rsid w:val="000A0A62"/>
    <w:rsid w:val="000A0D26"/>
    <w:rsid w:val="000A0DF3"/>
    <w:rsid w:val="000A0FD7"/>
    <w:rsid w:val="000A1CA9"/>
    <w:rsid w:val="000A25C4"/>
    <w:rsid w:val="000A2EB9"/>
    <w:rsid w:val="000A311F"/>
    <w:rsid w:val="000A3CAA"/>
    <w:rsid w:val="000A3E91"/>
    <w:rsid w:val="000A48F9"/>
    <w:rsid w:val="000A4E54"/>
    <w:rsid w:val="000A4EEC"/>
    <w:rsid w:val="000A5D7C"/>
    <w:rsid w:val="000A71DA"/>
    <w:rsid w:val="000A793A"/>
    <w:rsid w:val="000A7D21"/>
    <w:rsid w:val="000A7E25"/>
    <w:rsid w:val="000B0702"/>
    <w:rsid w:val="000B11DB"/>
    <w:rsid w:val="000B137D"/>
    <w:rsid w:val="000B180B"/>
    <w:rsid w:val="000B4080"/>
    <w:rsid w:val="000B4127"/>
    <w:rsid w:val="000B47CE"/>
    <w:rsid w:val="000B529F"/>
    <w:rsid w:val="000B5608"/>
    <w:rsid w:val="000B5C84"/>
    <w:rsid w:val="000B5E47"/>
    <w:rsid w:val="000B63EC"/>
    <w:rsid w:val="000B6630"/>
    <w:rsid w:val="000B6C1E"/>
    <w:rsid w:val="000B712E"/>
    <w:rsid w:val="000B7AD1"/>
    <w:rsid w:val="000B7C37"/>
    <w:rsid w:val="000C0B9C"/>
    <w:rsid w:val="000C0BF3"/>
    <w:rsid w:val="000C0FFA"/>
    <w:rsid w:val="000C11DA"/>
    <w:rsid w:val="000C1200"/>
    <w:rsid w:val="000C1335"/>
    <w:rsid w:val="000C13B1"/>
    <w:rsid w:val="000C16E3"/>
    <w:rsid w:val="000C2184"/>
    <w:rsid w:val="000C22F2"/>
    <w:rsid w:val="000C2512"/>
    <w:rsid w:val="000C282D"/>
    <w:rsid w:val="000C2EC7"/>
    <w:rsid w:val="000C3E75"/>
    <w:rsid w:val="000C4E22"/>
    <w:rsid w:val="000C5606"/>
    <w:rsid w:val="000C570A"/>
    <w:rsid w:val="000C5F2C"/>
    <w:rsid w:val="000C640C"/>
    <w:rsid w:val="000C6417"/>
    <w:rsid w:val="000C646B"/>
    <w:rsid w:val="000C7A92"/>
    <w:rsid w:val="000D1067"/>
    <w:rsid w:val="000D139C"/>
    <w:rsid w:val="000D2709"/>
    <w:rsid w:val="000D3282"/>
    <w:rsid w:val="000D3EC4"/>
    <w:rsid w:val="000D3FBD"/>
    <w:rsid w:val="000D4A82"/>
    <w:rsid w:val="000D4C31"/>
    <w:rsid w:val="000D4C49"/>
    <w:rsid w:val="000D56C0"/>
    <w:rsid w:val="000D58BF"/>
    <w:rsid w:val="000D58C0"/>
    <w:rsid w:val="000D5A3C"/>
    <w:rsid w:val="000D61F3"/>
    <w:rsid w:val="000D637D"/>
    <w:rsid w:val="000D6D41"/>
    <w:rsid w:val="000D6E3D"/>
    <w:rsid w:val="000D79B6"/>
    <w:rsid w:val="000E069E"/>
    <w:rsid w:val="000E07AA"/>
    <w:rsid w:val="000E07C5"/>
    <w:rsid w:val="000E0A7E"/>
    <w:rsid w:val="000E1013"/>
    <w:rsid w:val="000E1898"/>
    <w:rsid w:val="000E18A8"/>
    <w:rsid w:val="000E1915"/>
    <w:rsid w:val="000E1955"/>
    <w:rsid w:val="000E1B34"/>
    <w:rsid w:val="000E1D76"/>
    <w:rsid w:val="000E1FD0"/>
    <w:rsid w:val="000E256F"/>
    <w:rsid w:val="000E25A7"/>
    <w:rsid w:val="000E29B1"/>
    <w:rsid w:val="000E3061"/>
    <w:rsid w:val="000E32CE"/>
    <w:rsid w:val="000E3B1C"/>
    <w:rsid w:val="000E3BEA"/>
    <w:rsid w:val="000E4587"/>
    <w:rsid w:val="000E4B22"/>
    <w:rsid w:val="000E4D56"/>
    <w:rsid w:val="000E4F2F"/>
    <w:rsid w:val="000E7F01"/>
    <w:rsid w:val="000F031B"/>
    <w:rsid w:val="000F236C"/>
    <w:rsid w:val="000F2954"/>
    <w:rsid w:val="000F3690"/>
    <w:rsid w:val="000F3878"/>
    <w:rsid w:val="000F3BD8"/>
    <w:rsid w:val="000F493F"/>
    <w:rsid w:val="000F4C74"/>
    <w:rsid w:val="000F5C6F"/>
    <w:rsid w:val="000F6354"/>
    <w:rsid w:val="000F68F8"/>
    <w:rsid w:val="000F69F9"/>
    <w:rsid w:val="000F6D0C"/>
    <w:rsid w:val="000F6F6A"/>
    <w:rsid w:val="000F7658"/>
    <w:rsid w:val="000F7909"/>
    <w:rsid w:val="00100141"/>
    <w:rsid w:val="0010062A"/>
    <w:rsid w:val="001007F8"/>
    <w:rsid w:val="001008B3"/>
    <w:rsid w:val="00100B0B"/>
    <w:rsid w:val="00101436"/>
    <w:rsid w:val="001018DB"/>
    <w:rsid w:val="00101F6E"/>
    <w:rsid w:val="00102124"/>
    <w:rsid w:val="00102489"/>
    <w:rsid w:val="001024B1"/>
    <w:rsid w:val="00103D58"/>
    <w:rsid w:val="00103DDE"/>
    <w:rsid w:val="00103E03"/>
    <w:rsid w:val="00104ABC"/>
    <w:rsid w:val="00104ADE"/>
    <w:rsid w:val="00104C5B"/>
    <w:rsid w:val="00104CCE"/>
    <w:rsid w:val="00105391"/>
    <w:rsid w:val="001056DF"/>
    <w:rsid w:val="00105903"/>
    <w:rsid w:val="00106110"/>
    <w:rsid w:val="001065D7"/>
    <w:rsid w:val="00106662"/>
    <w:rsid w:val="00106B22"/>
    <w:rsid w:val="00107727"/>
    <w:rsid w:val="00107861"/>
    <w:rsid w:val="0010798E"/>
    <w:rsid w:val="00107AE3"/>
    <w:rsid w:val="00110316"/>
    <w:rsid w:val="001103F0"/>
    <w:rsid w:val="00110A88"/>
    <w:rsid w:val="00110D6E"/>
    <w:rsid w:val="001129C0"/>
    <w:rsid w:val="00112ABB"/>
    <w:rsid w:val="00112B0A"/>
    <w:rsid w:val="00112D01"/>
    <w:rsid w:val="001137E0"/>
    <w:rsid w:val="001146E2"/>
    <w:rsid w:val="00114852"/>
    <w:rsid w:val="00114993"/>
    <w:rsid w:val="00114A67"/>
    <w:rsid w:val="00115047"/>
    <w:rsid w:val="0011565E"/>
    <w:rsid w:val="00115A12"/>
    <w:rsid w:val="00115AF2"/>
    <w:rsid w:val="00116C49"/>
    <w:rsid w:val="00117002"/>
    <w:rsid w:val="00117347"/>
    <w:rsid w:val="0011762A"/>
    <w:rsid w:val="00117EB4"/>
    <w:rsid w:val="00120A10"/>
    <w:rsid w:val="00120A62"/>
    <w:rsid w:val="00120FCB"/>
    <w:rsid w:val="0012111E"/>
    <w:rsid w:val="0012146E"/>
    <w:rsid w:val="00121594"/>
    <w:rsid w:val="0012165E"/>
    <w:rsid w:val="0012168E"/>
    <w:rsid w:val="00121819"/>
    <w:rsid w:val="0012263B"/>
    <w:rsid w:val="00122ACB"/>
    <w:rsid w:val="00122C02"/>
    <w:rsid w:val="001243B3"/>
    <w:rsid w:val="001249A3"/>
    <w:rsid w:val="00124C39"/>
    <w:rsid w:val="00125151"/>
    <w:rsid w:val="00125658"/>
    <w:rsid w:val="00126178"/>
    <w:rsid w:val="0012642C"/>
    <w:rsid w:val="00126497"/>
    <w:rsid w:val="001269DD"/>
    <w:rsid w:val="00126F0C"/>
    <w:rsid w:val="0012714C"/>
    <w:rsid w:val="00127191"/>
    <w:rsid w:val="00127199"/>
    <w:rsid w:val="001271F8"/>
    <w:rsid w:val="001277B3"/>
    <w:rsid w:val="00130314"/>
    <w:rsid w:val="00130921"/>
    <w:rsid w:val="00130961"/>
    <w:rsid w:val="00130AB5"/>
    <w:rsid w:val="00130BC7"/>
    <w:rsid w:val="00130BCF"/>
    <w:rsid w:val="00130CDA"/>
    <w:rsid w:val="00130EE0"/>
    <w:rsid w:val="0013185F"/>
    <w:rsid w:val="00131F53"/>
    <w:rsid w:val="0013228B"/>
    <w:rsid w:val="0013272A"/>
    <w:rsid w:val="00132A87"/>
    <w:rsid w:val="001333AF"/>
    <w:rsid w:val="001342BE"/>
    <w:rsid w:val="00134379"/>
    <w:rsid w:val="00134883"/>
    <w:rsid w:val="00134960"/>
    <w:rsid w:val="00135234"/>
    <w:rsid w:val="001358FF"/>
    <w:rsid w:val="00135B2E"/>
    <w:rsid w:val="00135BCE"/>
    <w:rsid w:val="00135E2F"/>
    <w:rsid w:val="00135EE5"/>
    <w:rsid w:val="001361B1"/>
    <w:rsid w:val="001369D9"/>
    <w:rsid w:val="00136B89"/>
    <w:rsid w:val="00136BA5"/>
    <w:rsid w:val="001370DC"/>
    <w:rsid w:val="00137A56"/>
    <w:rsid w:val="0014038F"/>
    <w:rsid w:val="001409B6"/>
    <w:rsid w:val="001412CD"/>
    <w:rsid w:val="001417B1"/>
    <w:rsid w:val="00141BC7"/>
    <w:rsid w:val="00142549"/>
    <w:rsid w:val="00142ADA"/>
    <w:rsid w:val="00142AE7"/>
    <w:rsid w:val="001432AB"/>
    <w:rsid w:val="00143A6E"/>
    <w:rsid w:val="0014414C"/>
    <w:rsid w:val="00144D5D"/>
    <w:rsid w:val="00144EF7"/>
    <w:rsid w:val="00144F85"/>
    <w:rsid w:val="00145846"/>
    <w:rsid w:val="001458BC"/>
    <w:rsid w:val="00146178"/>
    <w:rsid w:val="001461F0"/>
    <w:rsid w:val="001461FC"/>
    <w:rsid w:val="00146346"/>
    <w:rsid w:val="00146761"/>
    <w:rsid w:val="00146F1C"/>
    <w:rsid w:val="00147374"/>
    <w:rsid w:val="0014771B"/>
    <w:rsid w:val="00147C4C"/>
    <w:rsid w:val="00151152"/>
    <w:rsid w:val="00151BAE"/>
    <w:rsid w:val="00151BB6"/>
    <w:rsid w:val="00151DEB"/>
    <w:rsid w:val="00152FC5"/>
    <w:rsid w:val="001531F3"/>
    <w:rsid w:val="001535CE"/>
    <w:rsid w:val="001538DA"/>
    <w:rsid w:val="00153C32"/>
    <w:rsid w:val="00154081"/>
    <w:rsid w:val="00154820"/>
    <w:rsid w:val="00154AE2"/>
    <w:rsid w:val="00154D8E"/>
    <w:rsid w:val="00155E70"/>
    <w:rsid w:val="00155F7A"/>
    <w:rsid w:val="00155F8C"/>
    <w:rsid w:val="00157167"/>
    <w:rsid w:val="0015753A"/>
    <w:rsid w:val="00160541"/>
    <w:rsid w:val="00160BEA"/>
    <w:rsid w:val="0016182F"/>
    <w:rsid w:val="00162155"/>
    <w:rsid w:val="00162D80"/>
    <w:rsid w:val="00163A26"/>
    <w:rsid w:val="00163CB2"/>
    <w:rsid w:val="00164B41"/>
    <w:rsid w:val="00164D7E"/>
    <w:rsid w:val="00165468"/>
    <w:rsid w:val="001656C4"/>
    <w:rsid w:val="0016577C"/>
    <w:rsid w:val="001659FC"/>
    <w:rsid w:val="001660F6"/>
    <w:rsid w:val="00166D30"/>
    <w:rsid w:val="0016742F"/>
    <w:rsid w:val="001676DE"/>
    <w:rsid w:val="0016783A"/>
    <w:rsid w:val="00167B8E"/>
    <w:rsid w:val="0017050E"/>
    <w:rsid w:val="00170911"/>
    <w:rsid w:val="00170A54"/>
    <w:rsid w:val="0017105C"/>
    <w:rsid w:val="0017160A"/>
    <w:rsid w:val="00171B3F"/>
    <w:rsid w:val="001729B1"/>
    <w:rsid w:val="00172F4F"/>
    <w:rsid w:val="00173359"/>
    <w:rsid w:val="00173466"/>
    <w:rsid w:val="0017454B"/>
    <w:rsid w:val="00174A4E"/>
    <w:rsid w:val="00174CEC"/>
    <w:rsid w:val="00174E98"/>
    <w:rsid w:val="00175026"/>
    <w:rsid w:val="00175421"/>
    <w:rsid w:val="00175895"/>
    <w:rsid w:val="00175F1B"/>
    <w:rsid w:val="0017641F"/>
    <w:rsid w:val="00176532"/>
    <w:rsid w:val="001800F6"/>
    <w:rsid w:val="00181129"/>
    <w:rsid w:val="00181DB9"/>
    <w:rsid w:val="00181FEA"/>
    <w:rsid w:val="00181FFD"/>
    <w:rsid w:val="0018240D"/>
    <w:rsid w:val="00182765"/>
    <w:rsid w:val="00182BE5"/>
    <w:rsid w:val="00183087"/>
    <w:rsid w:val="001834E9"/>
    <w:rsid w:val="001836B3"/>
    <w:rsid w:val="001839F4"/>
    <w:rsid w:val="00184917"/>
    <w:rsid w:val="001851DC"/>
    <w:rsid w:val="00185B64"/>
    <w:rsid w:val="00185DC3"/>
    <w:rsid w:val="00186831"/>
    <w:rsid w:val="00186B13"/>
    <w:rsid w:val="00186C7E"/>
    <w:rsid w:val="00186FB0"/>
    <w:rsid w:val="00187585"/>
    <w:rsid w:val="001875E1"/>
    <w:rsid w:val="001905AE"/>
    <w:rsid w:val="00190C99"/>
    <w:rsid w:val="00191AF0"/>
    <w:rsid w:val="0019251D"/>
    <w:rsid w:val="00192C29"/>
    <w:rsid w:val="001934A2"/>
    <w:rsid w:val="00193809"/>
    <w:rsid w:val="0019389C"/>
    <w:rsid w:val="00194187"/>
    <w:rsid w:val="0019446A"/>
    <w:rsid w:val="00194757"/>
    <w:rsid w:val="00194C6D"/>
    <w:rsid w:val="00196F03"/>
    <w:rsid w:val="001977A9"/>
    <w:rsid w:val="0019797B"/>
    <w:rsid w:val="001A10DE"/>
    <w:rsid w:val="001A121D"/>
    <w:rsid w:val="001A1CC2"/>
    <w:rsid w:val="001A2042"/>
    <w:rsid w:val="001A2433"/>
    <w:rsid w:val="001A27F8"/>
    <w:rsid w:val="001A3016"/>
    <w:rsid w:val="001A343D"/>
    <w:rsid w:val="001A3AAD"/>
    <w:rsid w:val="001A44D8"/>
    <w:rsid w:val="001A4AC1"/>
    <w:rsid w:val="001A4BE9"/>
    <w:rsid w:val="001A5338"/>
    <w:rsid w:val="001A54D2"/>
    <w:rsid w:val="001A6AA4"/>
    <w:rsid w:val="001A6C0D"/>
    <w:rsid w:val="001A6FA4"/>
    <w:rsid w:val="001A72B4"/>
    <w:rsid w:val="001A7B8E"/>
    <w:rsid w:val="001B05BA"/>
    <w:rsid w:val="001B05FC"/>
    <w:rsid w:val="001B0B95"/>
    <w:rsid w:val="001B0D5C"/>
    <w:rsid w:val="001B0DE1"/>
    <w:rsid w:val="001B0F54"/>
    <w:rsid w:val="001B1646"/>
    <w:rsid w:val="001B16ED"/>
    <w:rsid w:val="001B1BDA"/>
    <w:rsid w:val="001B2511"/>
    <w:rsid w:val="001B25FD"/>
    <w:rsid w:val="001B26D1"/>
    <w:rsid w:val="001B29B5"/>
    <w:rsid w:val="001B29E7"/>
    <w:rsid w:val="001B4081"/>
    <w:rsid w:val="001B4351"/>
    <w:rsid w:val="001B4A22"/>
    <w:rsid w:val="001B4F53"/>
    <w:rsid w:val="001B5107"/>
    <w:rsid w:val="001B5159"/>
    <w:rsid w:val="001B558D"/>
    <w:rsid w:val="001B6634"/>
    <w:rsid w:val="001B6999"/>
    <w:rsid w:val="001B6AD8"/>
    <w:rsid w:val="001B6F70"/>
    <w:rsid w:val="001B77F3"/>
    <w:rsid w:val="001C0168"/>
    <w:rsid w:val="001C0407"/>
    <w:rsid w:val="001C0970"/>
    <w:rsid w:val="001C1D4C"/>
    <w:rsid w:val="001C1F97"/>
    <w:rsid w:val="001C2122"/>
    <w:rsid w:val="001C2897"/>
    <w:rsid w:val="001C30E2"/>
    <w:rsid w:val="001C42B1"/>
    <w:rsid w:val="001C4BF7"/>
    <w:rsid w:val="001C5001"/>
    <w:rsid w:val="001C5A0F"/>
    <w:rsid w:val="001C5CB2"/>
    <w:rsid w:val="001C6569"/>
    <w:rsid w:val="001D02BF"/>
    <w:rsid w:val="001D0696"/>
    <w:rsid w:val="001D0AA5"/>
    <w:rsid w:val="001D0EA3"/>
    <w:rsid w:val="001D1139"/>
    <w:rsid w:val="001D122D"/>
    <w:rsid w:val="001D1DC8"/>
    <w:rsid w:val="001D241F"/>
    <w:rsid w:val="001D2A4F"/>
    <w:rsid w:val="001D3CEF"/>
    <w:rsid w:val="001D3F89"/>
    <w:rsid w:val="001D4259"/>
    <w:rsid w:val="001D4A4F"/>
    <w:rsid w:val="001D58C3"/>
    <w:rsid w:val="001D6453"/>
    <w:rsid w:val="001D67B4"/>
    <w:rsid w:val="001D680D"/>
    <w:rsid w:val="001D6EE6"/>
    <w:rsid w:val="001D7053"/>
    <w:rsid w:val="001D7AF0"/>
    <w:rsid w:val="001D7E5B"/>
    <w:rsid w:val="001E0E38"/>
    <w:rsid w:val="001E0E97"/>
    <w:rsid w:val="001E159E"/>
    <w:rsid w:val="001E241D"/>
    <w:rsid w:val="001E2760"/>
    <w:rsid w:val="001E2D3A"/>
    <w:rsid w:val="001E331D"/>
    <w:rsid w:val="001E3527"/>
    <w:rsid w:val="001E4748"/>
    <w:rsid w:val="001E51BE"/>
    <w:rsid w:val="001E56B3"/>
    <w:rsid w:val="001E5A3E"/>
    <w:rsid w:val="001E5C5F"/>
    <w:rsid w:val="001E65A7"/>
    <w:rsid w:val="001E69F5"/>
    <w:rsid w:val="001E798B"/>
    <w:rsid w:val="001E7B00"/>
    <w:rsid w:val="001E7BC8"/>
    <w:rsid w:val="001F012A"/>
    <w:rsid w:val="001F04CF"/>
    <w:rsid w:val="001F06EC"/>
    <w:rsid w:val="001F1C61"/>
    <w:rsid w:val="001F1D3E"/>
    <w:rsid w:val="001F234D"/>
    <w:rsid w:val="001F2A40"/>
    <w:rsid w:val="001F2FE7"/>
    <w:rsid w:val="001F3A9C"/>
    <w:rsid w:val="001F42E0"/>
    <w:rsid w:val="001F4638"/>
    <w:rsid w:val="001F4A33"/>
    <w:rsid w:val="001F5C4D"/>
    <w:rsid w:val="001F6121"/>
    <w:rsid w:val="001F64C0"/>
    <w:rsid w:val="001F664D"/>
    <w:rsid w:val="001F760D"/>
    <w:rsid w:val="00200218"/>
    <w:rsid w:val="002008AE"/>
    <w:rsid w:val="00200BF6"/>
    <w:rsid w:val="00201F8E"/>
    <w:rsid w:val="002026DE"/>
    <w:rsid w:val="00203546"/>
    <w:rsid w:val="00203ACF"/>
    <w:rsid w:val="00203DCF"/>
    <w:rsid w:val="0020480B"/>
    <w:rsid w:val="002051F3"/>
    <w:rsid w:val="0020546C"/>
    <w:rsid w:val="00205619"/>
    <w:rsid w:val="00205935"/>
    <w:rsid w:val="00205AC2"/>
    <w:rsid w:val="00205C32"/>
    <w:rsid w:val="00205F71"/>
    <w:rsid w:val="00206E3C"/>
    <w:rsid w:val="00207D87"/>
    <w:rsid w:val="00207F1F"/>
    <w:rsid w:val="00210191"/>
    <w:rsid w:val="002102E0"/>
    <w:rsid w:val="00210648"/>
    <w:rsid w:val="00210F88"/>
    <w:rsid w:val="00211819"/>
    <w:rsid w:val="00211A90"/>
    <w:rsid w:val="00211DBC"/>
    <w:rsid w:val="00211DC7"/>
    <w:rsid w:val="00212728"/>
    <w:rsid w:val="00212F88"/>
    <w:rsid w:val="00214902"/>
    <w:rsid w:val="00214C32"/>
    <w:rsid w:val="002164BE"/>
    <w:rsid w:val="0021681D"/>
    <w:rsid w:val="002169BB"/>
    <w:rsid w:val="002169C1"/>
    <w:rsid w:val="00216E52"/>
    <w:rsid w:val="00217089"/>
    <w:rsid w:val="0022067E"/>
    <w:rsid w:val="002209D0"/>
    <w:rsid w:val="0022125A"/>
    <w:rsid w:val="00221286"/>
    <w:rsid w:val="002213BF"/>
    <w:rsid w:val="002217E1"/>
    <w:rsid w:val="00221EB5"/>
    <w:rsid w:val="0022240F"/>
    <w:rsid w:val="002224A3"/>
    <w:rsid w:val="002225DA"/>
    <w:rsid w:val="0022287B"/>
    <w:rsid w:val="00223ECC"/>
    <w:rsid w:val="002243E5"/>
    <w:rsid w:val="00224560"/>
    <w:rsid w:val="002247C5"/>
    <w:rsid w:val="002249A9"/>
    <w:rsid w:val="00224EDB"/>
    <w:rsid w:val="00225B9C"/>
    <w:rsid w:val="00225C79"/>
    <w:rsid w:val="0022611F"/>
    <w:rsid w:val="0022674E"/>
    <w:rsid w:val="002268C3"/>
    <w:rsid w:val="00226A88"/>
    <w:rsid w:val="00227003"/>
    <w:rsid w:val="0022769C"/>
    <w:rsid w:val="00227A67"/>
    <w:rsid w:val="002308E8"/>
    <w:rsid w:val="0023137A"/>
    <w:rsid w:val="00231C7C"/>
    <w:rsid w:val="00231DD3"/>
    <w:rsid w:val="00231F85"/>
    <w:rsid w:val="002323C0"/>
    <w:rsid w:val="00232A30"/>
    <w:rsid w:val="00232B1D"/>
    <w:rsid w:val="00233439"/>
    <w:rsid w:val="00234360"/>
    <w:rsid w:val="00234A4B"/>
    <w:rsid w:val="002357BC"/>
    <w:rsid w:val="00235A03"/>
    <w:rsid w:val="0023606F"/>
    <w:rsid w:val="002362C3"/>
    <w:rsid w:val="00236606"/>
    <w:rsid w:val="002368DC"/>
    <w:rsid w:val="002377F1"/>
    <w:rsid w:val="002379F5"/>
    <w:rsid w:val="0024003C"/>
    <w:rsid w:val="00240938"/>
    <w:rsid w:val="0024098C"/>
    <w:rsid w:val="00240CB7"/>
    <w:rsid w:val="00241201"/>
    <w:rsid w:val="002414F9"/>
    <w:rsid w:val="002429D1"/>
    <w:rsid w:val="00243BC1"/>
    <w:rsid w:val="00243BC6"/>
    <w:rsid w:val="002448DA"/>
    <w:rsid w:val="00244E4F"/>
    <w:rsid w:val="002451AE"/>
    <w:rsid w:val="00245872"/>
    <w:rsid w:val="0024590F"/>
    <w:rsid w:val="00245F22"/>
    <w:rsid w:val="002462F6"/>
    <w:rsid w:val="00246539"/>
    <w:rsid w:val="002467AC"/>
    <w:rsid w:val="002467D4"/>
    <w:rsid w:val="0024696C"/>
    <w:rsid w:val="00247C7E"/>
    <w:rsid w:val="00251840"/>
    <w:rsid w:val="00252421"/>
    <w:rsid w:val="002525FD"/>
    <w:rsid w:val="00252BD2"/>
    <w:rsid w:val="0025360B"/>
    <w:rsid w:val="00253904"/>
    <w:rsid w:val="00253945"/>
    <w:rsid w:val="00253BD2"/>
    <w:rsid w:val="00253BFA"/>
    <w:rsid w:val="00253E53"/>
    <w:rsid w:val="00253F43"/>
    <w:rsid w:val="00253F5E"/>
    <w:rsid w:val="00253FF7"/>
    <w:rsid w:val="00254401"/>
    <w:rsid w:val="00255117"/>
    <w:rsid w:val="002552AC"/>
    <w:rsid w:val="00255A0B"/>
    <w:rsid w:val="00255B03"/>
    <w:rsid w:val="0025603B"/>
    <w:rsid w:val="00256316"/>
    <w:rsid w:val="002568F9"/>
    <w:rsid w:val="00256AD3"/>
    <w:rsid w:val="00256AF6"/>
    <w:rsid w:val="00256B74"/>
    <w:rsid w:val="00256C34"/>
    <w:rsid w:val="00257CB3"/>
    <w:rsid w:val="00257F47"/>
    <w:rsid w:val="00257F50"/>
    <w:rsid w:val="00260671"/>
    <w:rsid w:val="00260D5A"/>
    <w:rsid w:val="0026153E"/>
    <w:rsid w:val="00261E3B"/>
    <w:rsid w:val="00262384"/>
    <w:rsid w:val="00262467"/>
    <w:rsid w:val="002627E4"/>
    <w:rsid w:val="00262B2F"/>
    <w:rsid w:val="00263474"/>
    <w:rsid w:val="0026513F"/>
    <w:rsid w:val="00265C10"/>
    <w:rsid w:val="00265DEE"/>
    <w:rsid w:val="002665DA"/>
    <w:rsid w:val="00267473"/>
    <w:rsid w:val="00267742"/>
    <w:rsid w:val="002679B6"/>
    <w:rsid w:val="00267BD9"/>
    <w:rsid w:val="00270382"/>
    <w:rsid w:val="002703F2"/>
    <w:rsid w:val="00270412"/>
    <w:rsid w:val="00270DDA"/>
    <w:rsid w:val="00271561"/>
    <w:rsid w:val="002717D3"/>
    <w:rsid w:val="00271FB4"/>
    <w:rsid w:val="00272896"/>
    <w:rsid w:val="00273217"/>
    <w:rsid w:val="002749F8"/>
    <w:rsid w:val="00274C16"/>
    <w:rsid w:val="00274C75"/>
    <w:rsid w:val="00275187"/>
    <w:rsid w:val="00275382"/>
    <w:rsid w:val="00275B01"/>
    <w:rsid w:val="00275DAD"/>
    <w:rsid w:val="0027630C"/>
    <w:rsid w:val="002766A0"/>
    <w:rsid w:val="002767B2"/>
    <w:rsid w:val="0027701C"/>
    <w:rsid w:val="0027730B"/>
    <w:rsid w:val="002773D7"/>
    <w:rsid w:val="00280189"/>
    <w:rsid w:val="00280AF6"/>
    <w:rsid w:val="00281997"/>
    <w:rsid w:val="00281CFD"/>
    <w:rsid w:val="002820A7"/>
    <w:rsid w:val="002820F6"/>
    <w:rsid w:val="00282322"/>
    <w:rsid w:val="00282799"/>
    <w:rsid w:val="00282AAB"/>
    <w:rsid w:val="00282B5A"/>
    <w:rsid w:val="00282C36"/>
    <w:rsid w:val="0028313B"/>
    <w:rsid w:val="00283AA1"/>
    <w:rsid w:val="00283B85"/>
    <w:rsid w:val="00283E16"/>
    <w:rsid w:val="00284435"/>
    <w:rsid w:val="002847EB"/>
    <w:rsid w:val="00284C4C"/>
    <w:rsid w:val="00285974"/>
    <w:rsid w:val="00285EE7"/>
    <w:rsid w:val="002863EA"/>
    <w:rsid w:val="00286575"/>
    <w:rsid w:val="002866FF"/>
    <w:rsid w:val="0028795E"/>
    <w:rsid w:val="0029073C"/>
    <w:rsid w:val="00290E31"/>
    <w:rsid w:val="00290F9F"/>
    <w:rsid w:val="0029164D"/>
    <w:rsid w:val="00291716"/>
    <w:rsid w:val="00291CD0"/>
    <w:rsid w:val="00291D2C"/>
    <w:rsid w:val="002929DF"/>
    <w:rsid w:val="00293946"/>
    <w:rsid w:val="00293E38"/>
    <w:rsid w:val="00293F69"/>
    <w:rsid w:val="0029422D"/>
    <w:rsid w:val="00294242"/>
    <w:rsid w:val="00294346"/>
    <w:rsid w:val="0029456F"/>
    <w:rsid w:val="002948BF"/>
    <w:rsid w:val="00294DC9"/>
    <w:rsid w:val="00295044"/>
    <w:rsid w:val="002953DE"/>
    <w:rsid w:val="0029540D"/>
    <w:rsid w:val="002962F3"/>
    <w:rsid w:val="002968C6"/>
    <w:rsid w:val="00296C4B"/>
    <w:rsid w:val="00296D4A"/>
    <w:rsid w:val="00297151"/>
    <w:rsid w:val="002975CF"/>
    <w:rsid w:val="0029787F"/>
    <w:rsid w:val="00297AD6"/>
    <w:rsid w:val="002A065F"/>
    <w:rsid w:val="002A09C6"/>
    <w:rsid w:val="002A0C39"/>
    <w:rsid w:val="002A12AC"/>
    <w:rsid w:val="002A13E2"/>
    <w:rsid w:val="002A24E5"/>
    <w:rsid w:val="002A2C71"/>
    <w:rsid w:val="002A2E89"/>
    <w:rsid w:val="002A2F7A"/>
    <w:rsid w:val="002A2F96"/>
    <w:rsid w:val="002A3396"/>
    <w:rsid w:val="002A4886"/>
    <w:rsid w:val="002A4B4D"/>
    <w:rsid w:val="002A50A1"/>
    <w:rsid w:val="002A55EA"/>
    <w:rsid w:val="002A58FB"/>
    <w:rsid w:val="002A5CF9"/>
    <w:rsid w:val="002A5D75"/>
    <w:rsid w:val="002A644F"/>
    <w:rsid w:val="002A6BA5"/>
    <w:rsid w:val="002A6CE2"/>
    <w:rsid w:val="002A754F"/>
    <w:rsid w:val="002A75FD"/>
    <w:rsid w:val="002A7683"/>
    <w:rsid w:val="002A7939"/>
    <w:rsid w:val="002A7D84"/>
    <w:rsid w:val="002B0787"/>
    <w:rsid w:val="002B0842"/>
    <w:rsid w:val="002B0AA6"/>
    <w:rsid w:val="002B0C5D"/>
    <w:rsid w:val="002B0E44"/>
    <w:rsid w:val="002B0F88"/>
    <w:rsid w:val="002B0FA3"/>
    <w:rsid w:val="002B10C0"/>
    <w:rsid w:val="002B1219"/>
    <w:rsid w:val="002B160B"/>
    <w:rsid w:val="002B1CD4"/>
    <w:rsid w:val="002B34B2"/>
    <w:rsid w:val="002B4AF6"/>
    <w:rsid w:val="002B4FAA"/>
    <w:rsid w:val="002B5ADF"/>
    <w:rsid w:val="002B6122"/>
    <w:rsid w:val="002B62B8"/>
    <w:rsid w:val="002B70D7"/>
    <w:rsid w:val="002B7240"/>
    <w:rsid w:val="002B728A"/>
    <w:rsid w:val="002B7381"/>
    <w:rsid w:val="002B7757"/>
    <w:rsid w:val="002B78DA"/>
    <w:rsid w:val="002C1773"/>
    <w:rsid w:val="002C2746"/>
    <w:rsid w:val="002C3237"/>
    <w:rsid w:val="002C3749"/>
    <w:rsid w:val="002C388C"/>
    <w:rsid w:val="002C39CF"/>
    <w:rsid w:val="002C3B51"/>
    <w:rsid w:val="002C414C"/>
    <w:rsid w:val="002C4A43"/>
    <w:rsid w:val="002C4C01"/>
    <w:rsid w:val="002C5262"/>
    <w:rsid w:val="002C55BA"/>
    <w:rsid w:val="002C5682"/>
    <w:rsid w:val="002C57A9"/>
    <w:rsid w:val="002C5B78"/>
    <w:rsid w:val="002C63E9"/>
    <w:rsid w:val="002C655C"/>
    <w:rsid w:val="002C6B42"/>
    <w:rsid w:val="002C6EF7"/>
    <w:rsid w:val="002D00D9"/>
    <w:rsid w:val="002D01F5"/>
    <w:rsid w:val="002D037C"/>
    <w:rsid w:val="002D0B7A"/>
    <w:rsid w:val="002D1031"/>
    <w:rsid w:val="002D1238"/>
    <w:rsid w:val="002D1698"/>
    <w:rsid w:val="002D1B46"/>
    <w:rsid w:val="002D2D8B"/>
    <w:rsid w:val="002D2E03"/>
    <w:rsid w:val="002D3386"/>
    <w:rsid w:val="002D3F86"/>
    <w:rsid w:val="002D3FEB"/>
    <w:rsid w:val="002D4894"/>
    <w:rsid w:val="002D4C2E"/>
    <w:rsid w:val="002D5771"/>
    <w:rsid w:val="002D6D8D"/>
    <w:rsid w:val="002D6F69"/>
    <w:rsid w:val="002D6FD1"/>
    <w:rsid w:val="002D72EA"/>
    <w:rsid w:val="002D7CC5"/>
    <w:rsid w:val="002E028D"/>
    <w:rsid w:val="002E08F7"/>
    <w:rsid w:val="002E0AE5"/>
    <w:rsid w:val="002E0FDC"/>
    <w:rsid w:val="002E1F97"/>
    <w:rsid w:val="002E2286"/>
    <w:rsid w:val="002E2334"/>
    <w:rsid w:val="002E27F9"/>
    <w:rsid w:val="002E3402"/>
    <w:rsid w:val="002E41A1"/>
    <w:rsid w:val="002E43CA"/>
    <w:rsid w:val="002E4A09"/>
    <w:rsid w:val="002E76BA"/>
    <w:rsid w:val="002F0ECA"/>
    <w:rsid w:val="002F1BA7"/>
    <w:rsid w:val="002F1DCE"/>
    <w:rsid w:val="002F22DB"/>
    <w:rsid w:val="002F23C5"/>
    <w:rsid w:val="002F26F2"/>
    <w:rsid w:val="002F2C50"/>
    <w:rsid w:val="002F4603"/>
    <w:rsid w:val="002F4C84"/>
    <w:rsid w:val="002F5221"/>
    <w:rsid w:val="002F559C"/>
    <w:rsid w:val="002F56E6"/>
    <w:rsid w:val="002F5889"/>
    <w:rsid w:val="002F640F"/>
    <w:rsid w:val="002F6580"/>
    <w:rsid w:val="002F6791"/>
    <w:rsid w:val="002F69E0"/>
    <w:rsid w:val="002F6D38"/>
    <w:rsid w:val="002F6EA4"/>
    <w:rsid w:val="002F70DA"/>
    <w:rsid w:val="002F754F"/>
    <w:rsid w:val="002F75AF"/>
    <w:rsid w:val="002F7E33"/>
    <w:rsid w:val="0030097C"/>
    <w:rsid w:val="003009DD"/>
    <w:rsid w:val="003017B7"/>
    <w:rsid w:val="003018B7"/>
    <w:rsid w:val="00301D2D"/>
    <w:rsid w:val="00302B76"/>
    <w:rsid w:val="00302BB8"/>
    <w:rsid w:val="00302D10"/>
    <w:rsid w:val="0030327C"/>
    <w:rsid w:val="003038DC"/>
    <w:rsid w:val="0030390C"/>
    <w:rsid w:val="00303C9E"/>
    <w:rsid w:val="00303D8B"/>
    <w:rsid w:val="00304190"/>
    <w:rsid w:val="0030419B"/>
    <w:rsid w:val="00305977"/>
    <w:rsid w:val="0030598B"/>
    <w:rsid w:val="00306265"/>
    <w:rsid w:val="0030658E"/>
    <w:rsid w:val="00306799"/>
    <w:rsid w:val="00306D10"/>
    <w:rsid w:val="00306FE9"/>
    <w:rsid w:val="00307211"/>
    <w:rsid w:val="003078FD"/>
    <w:rsid w:val="00307B2E"/>
    <w:rsid w:val="00307CB7"/>
    <w:rsid w:val="00307D4B"/>
    <w:rsid w:val="003104FD"/>
    <w:rsid w:val="003107FE"/>
    <w:rsid w:val="00310A01"/>
    <w:rsid w:val="00310B6E"/>
    <w:rsid w:val="00311F33"/>
    <w:rsid w:val="00312437"/>
    <w:rsid w:val="0031319E"/>
    <w:rsid w:val="003133D5"/>
    <w:rsid w:val="00313754"/>
    <w:rsid w:val="00313EE6"/>
    <w:rsid w:val="003151AF"/>
    <w:rsid w:val="003158C2"/>
    <w:rsid w:val="00315CE8"/>
    <w:rsid w:val="0031602E"/>
    <w:rsid w:val="0031612B"/>
    <w:rsid w:val="00316330"/>
    <w:rsid w:val="00316D60"/>
    <w:rsid w:val="00316EB5"/>
    <w:rsid w:val="003177B0"/>
    <w:rsid w:val="0031782D"/>
    <w:rsid w:val="003178BE"/>
    <w:rsid w:val="0032111A"/>
    <w:rsid w:val="00321143"/>
    <w:rsid w:val="00321218"/>
    <w:rsid w:val="0032204A"/>
    <w:rsid w:val="0032248B"/>
    <w:rsid w:val="00322AE3"/>
    <w:rsid w:val="00322E14"/>
    <w:rsid w:val="00322EB4"/>
    <w:rsid w:val="003231E5"/>
    <w:rsid w:val="003239DB"/>
    <w:rsid w:val="00324116"/>
    <w:rsid w:val="00324B92"/>
    <w:rsid w:val="00325846"/>
    <w:rsid w:val="00325947"/>
    <w:rsid w:val="00326982"/>
    <w:rsid w:val="0032776B"/>
    <w:rsid w:val="0032796D"/>
    <w:rsid w:val="00331774"/>
    <w:rsid w:val="00332184"/>
    <w:rsid w:val="003321A8"/>
    <w:rsid w:val="003329BB"/>
    <w:rsid w:val="00334240"/>
    <w:rsid w:val="003342DC"/>
    <w:rsid w:val="00334732"/>
    <w:rsid w:val="00334F62"/>
    <w:rsid w:val="0033503E"/>
    <w:rsid w:val="00335ADC"/>
    <w:rsid w:val="003369EB"/>
    <w:rsid w:val="00336BCE"/>
    <w:rsid w:val="0034034C"/>
    <w:rsid w:val="00340E49"/>
    <w:rsid w:val="00340E94"/>
    <w:rsid w:val="00341754"/>
    <w:rsid w:val="003420EB"/>
    <w:rsid w:val="00342969"/>
    <w:rsid w:val="00342FE9"/>
    <w:rsid w:val="00344097"/>
    <w:rsid w:val="00344685"/>
    <w:rsid w:val="00344D79"/>
    <w:rsid w:val="003454F4"/>
    <w:rsid w:val="00345564"/>
    <w:rsid w:val="00345924"/>
    <w:rsid w:val="00345CB7"/>
    <w:rsid w:val="0034711C"/>
    <w:rsid w:val="0035308F"/>
    <w:rsid w:val="00353205"/>
    <w:rsid w:val="0035414D"/>
    <w:rsid w:val="00354184"/>
    <w:rsid w:val="00354D16"/>
    <w:rsid w:val="0035538F"/>
    <w:rsid w:val="00355503"/>
    <w:rsid w:val="003558FC"/>
    <w:rsid w:val="00355ACB"/>
    <w:rsid w:val="00355D64"/>
    <w:rsid w:val="00355EDA"/>
    <w:rsid w:val="003564FD"/>
    <w:rsid w:val="00356529"/>
    <w:rsid w:val="003565C5"/>
    <w:rsid w:val="0035693C"/>
    <w:rsid w:val="00356950"/>
    <w:rsid w:val="00356FCE"/>
    <w:rsid w:val="00357563"/>
    <w:rsid w:val="00357BDA"/>
    <w:rsid w:val="00361298"/>
    <w:rsid w:val="00361E19"/>
    <w:rsid w:val="00362C23"/>
    <w:rsid w:val="00363249"/>
    <w:rsid w:val="003639E5"/>
    <w:rsid w:val="00365134"/>
    <w:rsid w:val="00365375"/>
    <w:rsid w:val="003655AD"/>
    <w:rsid w:val="00365D5E"/>
    <w:rsid w:val="00366096"/>
    <w:rsid w:val="0036642F"/>
    <w:rsid w:val="00366603"/>
    <w:rsid w:val="00366720"/>
    <w:rsid w:val="00367079"/>
    <w:rsid w:val="003700DB"/>
    <w:rsid w:val="00370853"/>
    <w:rsid w:val="003708C3"/>
    <w:rsid w:val="003713F7"/>
    <w:rsid w:val="003717CD"/>
    <w:rsid w:val="003728F5"/>
    <w:rsid w:val="00372EC9"/>
    <w:rsid w:val="00372EFB"/>
    <w:rsid w:val="00372F55"/>
    <w:rsid w:val="0037313D"/>
    <w:rsid w:val="00373640"/>
    <w:rsid w:val="00374081"/>
    <w:rsid w:val="00374631"/>
    <w:rsid w:val="0037528C"/>
    <w:rsid w:val="00375EF1"/>
    <w:rsid w:val="00375F9E"/>
    <w:rsid w:val="00375FA7"/>
    <w:rsid w:val="003763D7"/>
    <w:rsid w:val="003765F7"/>
    <w:rsid w:val="00376DE2"/>
    <w:rsid w:val="0037771A"/>
    <w:rsid w:val="003777EE"/>
    <w:rsid w:val="00377DEE"/>
    <w:rsid w:val="00380163"/>
    <w:rsid w:val="003803E6"/>
    <w:rsid w:val="003807F7"/>
    <w:rsid w:val="00380BCC"/>
    <w:rsid w:val="00381012"/>
    <w:rsid w:val="00381B0E"/>
    <w:rsid w:val="00381CAD"/>
    <w:rsid w:val="00382722"/>
    <w:rsid w:val="00382A7A"/>
    <w:rsid w:val="00382B20"/>
    <w:rsid w:val="00383388"/>
    <w:rsid w:val="003836E6"/>
    <w:rsid w:val="00383C8E"/>
    <w:rsid w:val="00383EA8"/>
    <w:rsid w:val="00383FF3"/>
    <w:rsid w:val="00384488"/>
    <w:rsid w:val="003844CF"/>
    <w:rsid w:val="0038450E"/>
    <w:rsid w:val="0038455E"/>
    <w:rsid w:val="00384802"/>
    <w:rsid w:val="00384DF9"/>
    <w:rsid w:val="00384E72"/>
    <w:rsid w:val="0038500D"/>
    <w:rsid w:val="003853E8"/>
    <w:rsid w:val="0038581C"/>
    <w:rsid w:val="00385A9C"/>
    <w:rsid w:val="00386FDD"/>
    <w:rsid w:val="003879E7"/>
    <w:rsid w:val="00391C19"/>
    <w:rsid w:val="0039237B"/>
    <w:rsid w:val="00392789"/>
    <w:rsid w:val="00392B75"/>
    <w:rsid w:val="00392C04"/>
    <w:rsid w:val="00392C6D"/>
    <w:rsid w:val="00392D1C"/>
    <w:rsid w:val="003934A5"/>
    <w:rsid w:val="003934EE"/>
    <w:rsid w:val="0039368A"/>
    <w:rsid w:val="00395011"/>
    <w:rsid w:val="003957FE"/>
    <w:rsid w:val="003959F8"/>
    <w:rsid w:val="00395E68"/>
    <w:rsid w:val="00395EFC"/>
    <w:rsid w:val="00396702"/>
    <w:rsid w:val="0039678C"/>
    <w:rsid w:val="003969E7"/>
    <w:rsid w:val="00396A56"/>
    <w:rsid w:val="003979F5"/>
    <w:rsid w:val="00397B63"/>
    <w:rsid w:val="00397B67"/>
    <w:rsid w:val="00397D13"/>
    <w:rsid w:val="003A0265"/>
    <w:rsid w:val="003A0CD4"/>
    <w:rsid w:val="003A13AD"/>
    <w:rsid w:val="003A142D"/>
    <w:rsid w:val="003A24FB"/>
    <w:rsid w:val="003A295C"/>
    <w:rsid w:val="003A2BB6"/>
    <w:rsid w:val="003A336F"/>
    <w:rsid w:val="003A33FC"/>
    <w:rsid w:val="003A3AF5"/>
    <w:rsid w:val="003A3BDD"/>
    <w:rsid w:val="003A3E0D"/>
    <w:rsid w:val="003A3FCE"/>
    <w:rsid w:val="003A475A"/>
    <w:rsid w:val="003A4BA8"/>
    <w:rsid w:val="003A4D85"/>
    <w:rsid w:val="003A510A"/>
    <w:rsid w:val="003A51BF"/>
    <w:rsid w:val="003A564F"/>
    <w:rsid w:val="003A56C9"/>
    <w:rsid w:val="003A575C"/>
    <w:rsid w:val="003A700A"/>
    <w:rsid w:val="003A71E1"/>
    <w:rsid w:val="003A7DBE"/>
    <w:rsid w:val="003B0841"/>
    <w:rsid w:val="003B0CEA"/>
    <w:rsid w:val="003B14E2"/>
    <w:rsid w:val="003B1F62"/>
    <w:rsid w:val="003B294C"/>
    <w:rsid w:val="003B2DCC"/>
    <w:rsid w:val="003B30FD"/>
    <w:rsid w:val="003B3665"/>
    <w:rsid w:val="003B37FC"/>
    <w:rsid w:val="003B39E9"/>
    <w:rsid w:val="003B3B0E"/>
    <w:rsid w:val="003B4A71"/>
    <w:rsid w:val="003B4D22"/>
    <w:rsid w:val="003B5ABA"/>
    <w:rsid w:val="003B6B7A"/>
    <w:rsid w:val="003B6FF5"/>
    <w:rsid w:val="003B7436"/>
    <w:rsid w:val="003B745F"/>
    <w:rsid w:val="003C0527"/>
    <w:rsid w:val="003C0A6E"/>
    <w:rsid w:val="003C1630"/>
    <w:rsid w:val="003C1E04"/>
    <w:rsid w:val="003C1F99"/>
    <w:rsid w:val="003C2233"/>
    <w:rsid w:val="003C23F1"/>
    <w:rsid w:val="003C30E5"/>
    <w:rsid w:val="003C32C0"/>
    <w:rsid w:val="003C33F2"/>
    <w:rsid w:val="003C3532"/>
    <w:rsid w:val="003C38CF"/>
    <w:rsid w:val="003C4532"/>
    <w:rsid w:val="003C4C56"/>
    <w:rsid w:val="003C50B8"/>
    <w:rsid w:val="003C558D"/>
    <w:rsid w:val="003C5DB5"/>
    <w:rsid w:val="003C7225"/>
    <w:rsid w:val="003C7F29"/>
    <w:rsid w:val="003D03F8"/>
    <w:rsid w:val="003D07AC"/>
    <w:rsid w:val="003D10C3"/>
    <w:rsid w:val="003D1689"/>
    <w:rsid w:val="003D1EB6"/>
    <w:rsid w:val="003D20D9"/>
    <w:rsid w:val="003D3256"/>
    <w:rsid w:val="003D56AE"/>
    <w:rsid w:val="003D616D"/>
    <w:rsid w:val="003D72E5"/>
    <w:rsid w:val="003D746B"/>
    <w:rsid w:val="003D7D98"/>
    <w:rsid w:val="003E03EF"/>
    <w:rsid w:val="003E0860"/>
    <w:rsid w:val="003E0B7F"/>
    <w:rsid w:val="003E1030"/>
    <w:rsid w:val="003E1E61"/>
    <w:rsid w:val="003E1EE9"/>
    <w:rsid w:val="003E22F2"/>
    <w:rsid w:val="003E2318"/>
    <w:rsid w:val="003E246A"/>
    <w:rsid w:val="003E2594"/>
    <w:rsid w:val="003E34AF"/>
    <w:rsid w:val="003E4F64"/>
    <w:rsid w:val="003E564B"/>
    <w:rsid w:val="003E57A9"/>
    <w:rsid w:val="003E5BC0"/>
    <w:rsid w:val="003E65EB"/>
    <w:rsid w:val="003E67A1"/>
    <w:rsid w:val="003E67CE"/>
    <w:rsid w:val="003E6DCB"/>
    <w:rsid w:val="003E7DE9"/>
    <w:rsid w:val="003F035B"/>
    <w:rsid w:val="003F07DF"/>
    <w:rsid w:val="003F0B9C"/>
    <w:rsid w:val="003F0F5D"/>
    <w:rsid w:val="003F27FD"/>
    <w:rsid w:val="003F396F"/>
    <w:rsid w:val="003F4B99"/>
    <w:rsid w:val="003F4D9E"/>
    <w:rsid w:val="003F4F57"/>
    <w:rsid w:val="003F4FF3"/>
    <w:rsid w:val="003F505C"/>
    <w:rsid w:val="003F5765"/>
    <w:rsid w:val="003F6103"/>
    <w:rsid w:val="003F615E"/>
    <w:rsid w:val="003F657B"/>
    <w:rsid w:val="003F68EF"/>
    <w:rsid w:val="003F7F6E"/>
    <w:rsid w:val="004001BA"/>
    <w:rsid w:val="004002AA"/>
    <w:rsid w:val="00400343"/>
    <w:rsid w:val="004003D9"/>
    <w:rsid w:val="00400C46"/>
    <w:rsid w:val="00401C85"/>
    <w:rsid w:val="00401ECF"/>
    <w:rsid w:val="00401F15"/>
    <w:rsid w:val="00402AFF"/>
    <w:rsid w:val="00402B56"/>
    <w:rsid w:val="00402C36"/>
    <w:rsid w:val="00403036"/>
    <w:rsid w:val="0040377A"/>
    <w:rsid w:val="004049C3"/>
    <w:rsid w:val="0040522F"/>
    <w:rsid w:val="0040577B"/>
    <w:rsid w:val="004057DD"/>
    <w:rsid w:val="00405A08"/>
    <w:rsid w:val="00405CA1"/>
    <w:rsid w:val="00405CEB"/>
    <w:rsid w:val="00405FC9"/>
    <w:rsid w:val="00406072"/>
    <w:rsid w:val="00406F6F"/>
    <w:rsid w:val="004077C5"/>
    <w:rsid w:val="0040799F"/>
    <w:rsid w:val="00407D1F"/>
    <w:rsid w:val="00407DBB"/>
    <w:rsid w:val="00412029"/>
    <w:rsid w:val="004121E1"/>
    <w:rsid w:val="0041269C"/>
    <w:rsid w:val="004128F9"/>
    <w:rsid w:val="00413029"/>
    <w:rsid w:val="0041309A"/>
    <w:rsid w:val="0041330C"/>
    <w:rsid w:val="0041332E"/>
    <w:rsid w:val="00413BFE"/>
    <w:rsid w:val="00413E3E"/>
    <w:rsid w:val="00413E8A"/>
    <w:rsid w:val="00414C4D"/>
    <w:rsid w:val="00415CFD"/>
    <w:rsid w:val="00416F9B"/>
    <w:rsid w:val="0041772A"/>
    <w:rsid w:val="0041794D"/>
    <w:rsid w:val="00417B5A"/>
    <w:rsid w:val="00420491"/>
    <w:rsid w:val="00420506"/>
    <w:rsid w:val="004207CA"/>
    <w:rsid w:val="0042090F"/>
    <w:rsid w:val="00420BDC"/>
    <w:rsid w:val="0042120A"/>
    <w:rsid w:val="00421531"/>
    <w:rsid w:val="00421A96"/>
    <w:rsid w:val="00421AE7"/>
    <w:rsid w:val="00421CDA"/>
    <w:rsid w:val="0042207B"/>
    <w:rsid w:val="00422937"/>
    <w:rsid w:val="0042309E"/>
    <w:rsid w:val="0042370C"/>
    <w:rsid w:val="00423C33"/>
    <w:rsid w:val="00423C5B"/>
    <w:rsid w:val="00424088"/>
    <w:rsid w:val="00424189"/>
    <w:rsid w:val="00424F6E"/>
    <w:rsid w:val="00425604"/>
    <w:rsid w:val="00425EBD"/>
    <w:rsid w:val="004264B1"/>
    <w:rsid w:val="00426958"/>
    <w:rsid w:val="00427DF6"/>
    <w:rsid w:val="00427ECF"/>
    <w:rsid w:val="0043018C"/>
    <w:rsid w:val="00430A9E"/>
    <w:rsid w:val="00430D27"/>
    <w:rsid w:val="00430F26"/>
    <w:rsid w:val="0043127D"/>
    <w:rsid w:val="00431BEF"/>
    <w:rsid w:val="00432029"/>
    <w:rsid w:val="004328F0"/>
    <w:rsid w:val="00432A6B"/>
    <w:rsid w:val="004335F8"/>
    <w:rsid w:val="00433CEF"/>
    <w:rsid w:val="00433F90"/>
    <w:rsid w:val="00434572"/>
    <w:rsid w:val="004349DC"/>
    <w:rsid w:val="00434C71"/>
    <w:rsid w:val="00434F91"/>
    <w:rsid w:val="0043564E"/>
    <w:rsid w:val="004358BF"/>
    <w:rsid w:val="00436DF4"/>
    <w:rsid w:val="00437230"/>
    <w:rsid w:val="004372B9"/>
    <w:rsid w:val="004378E0"/>
    <w:rsid w:val="00440373"/>
    <w:rsid w:val="00440824"/>
    <w:rsid w:val="00441431"/>
    <w:rsid w:val="00441653"/>
    <w:rsid w:val="004419C1"/>
    <w:rsid w:val="00442957"/>
    <w:rsid w:val="00442FE9"/>
    <w:rsid w:val="00443136"/>
    <w:rsid w:val="00443E0A"/>
    <w:rsid w:val="00443FE2"/>
    <w:rsid w:val="00444334"/>
    <w:rsid w:val="004444B8"/>
    <w:rsid w:val="00444DB3"/>
    <w:rsid w:val="00444E09"/>
    <w:rsid w:val="00445349"/>
    <w:rsid w:val="00446046"/>
    <w:rsid w:val="0044642A"/>
    <w:rsid w:val="00446636"/>
    <w:rsid w:val="004515A2"/>
    <w:rsid w:val="0045171D"/>
    <w:rsid w:val="0045200A"/>
    <w:rsid w:val="004522D9"/>
    <w:rsid w:val="00452D0B"/>
    <w:rsid w:val="00453342"/>
    <w:rsid w:val="004535DD"/>
    <w:rsid w:val="004536AA"/>
    <w:rsid w:val="00453D91"/>
    <w:rsid w:val="004552FC"/>
    <w:rsid w:val="004557BB"/>
    <w:rsid w:val="00455E11"/>
    <w:rsid w:val="00456535"/>
    <w:rsid w:val="004566BD"/>
    <w:rsid w:val="00456E45"/>
    <w:rsid w:val="00457007"/>
    <w:rsid w:val="00457982"/>
    <w:rsid w:val="00457F48"/>
    <w:rsid w:val="004600B2"/>
    <w:rsid w:val="00460C9C"/>
    <w:rsid w:val="00461211"/>
    <w:rsid w:val="00461579"/>
    <w:rsid w:val="00461838"/>
    <w:rsid w:val="0046188E"/>
    <w:rsid w:val="00461ABE"/>
    <w:rsid w:val="00461CA0"/>
    <w:rsid w:val="00461F3E"/>
    <w:rsid w:val="00462541"/>
    <w:rsid w:val="00463865"/>
    <w:rsid w:val="00463F56"/>
    <w:rsid w:val="00464641"/>
    <w:rsid w:val="0046471D"/>
    <w:rsid w:val="00464796"/>
    <w:rsid w:val="00464931"/>
    <w:rsid w:val="004649B1"/>
    <w:rsid w:val="004651CC"/>
    <w:rsid w:val="0046587A"/>
    <w:rsid w:val="00465B8D"/>
    <w:rsid w:val="00465B95"/>
    <w:rsid w:val="00465DE9"/>
    <w:rsid w:val="004662C2"/>
    <w:rsid w:val="00466407"/>
    <w:rsid w:val="0046646D"/>
    <w:rsid w:val="00466707"/>
    <w:rsid w:val="00466D26"/>
    <w:rsid w:val="00467300"/>
    <w:rsid w:val="0046750A"/>
    <w:rsid w:val="00467636"/>
    <w:rsid w:val="00467AA3"/>
    <w:rsid w:val="0047032F"/>
    <w:rsid w:val="00470341"/>
    <w:rsid w:val="00470984"/>
    <w:rsid w:val="00470E5A"/>
    <w:rsid w:val="00471142"/>
    <w:rsid w:val="004716FA"/>
    <w:rsid w:val="0047184A"/>
    <w:rsid w:val="0047193A"/>
    <w:rsid w:val="00471D24"/>
    <w:rsid w:val="0047201A"/>
    <w:rsid w:val="0047242A"/>
    <w:rsid w:val="00472537"/>
    <w:rsid w:val="00473255"/>
    <w:rsid w:val="00473E12"/>
    <w:rsid w:val="004745EE"/>
    <w:rsid w:val="004748F1"/>
    <w:rsid w:val="0047496F"/>
    <w:rsid w:val="00474CDE"/>
    <w:rsid w:val="00475139"/>
    <w:rsid w:val="0047545D"/>
    <w:rsid w:val="0047563A"/>
    <w:rsid w:val="0047576A"/>
    <w:rsid w:val="00475774"/>
    <w:rsid w:val="00475846"/>
    <w:rsid w:val="00475E64"/>
    <w:rsid w:val="00476639"/>
    <w:rsid w:val="004771FA"/>
    <w:rsid w:val="00477EDC"/>
    <w:rsid w:val="00480DE9"/>
    <w:rsid w:val="00480E97"/>
    <w:rsid w:val="004836BE"/>
    <w:rsid w:val="00483BAF"/>
    <w:rsid w:val="00483F72"/>
    <w:rsid w:val="0048406C"/>
    <w:rsid w:val="00484D48"/>
    <w:rsid w:val="00484DF7"/>
    <w:rsid w:val="0048510F"/>
    <w:rsid w:val="00485767"/>
    <w:rsid w:val="00485912"/>
    <w:rsid w:val="00485B5D"/>
    <w:rsid w:val="00485C0A"/>
    <w:rsid w:val="0048641B"/>
    <w:rsid w:val="0048645D"/>
    <w:rsid w:val="0048690E"/>
    <w:rsid w:val="00486EA1"/>
    <w:rsid w:val="004871E0"/>
    <w:rsid w:val="0048744C"/>
    <w:rsid w:val="00487652"/>
    <w:rsid w:val="00487896"/>
    <w:rsid w:val="00490D4A"/>
    <w:rsid w:val="00490FA4"/>
    <w:rsid w:val="00491855"/>
    <w:rsid w:val="00492350"/>
    <w:rsid w:val="0049249B"/>
    <w:rsid w:val="004926D5"/>
    <w:rsid w:val="0049359A"/>
    <w:rsid w:val="00493A9A"/>
    <w:rsid w:val="004940A8"/>
    <w:rsid w:val="00494E36"/>
    <w:rsid w:val="00494EAE"/>
    <w:rsid w:val="00495C52"/>
    <w:rsid w:val="004965B3"/>
    <w:rsid w:val="00496A4D"/>
    <w:rsid w:val="00497182"/>
    <w:rsid w:val="00497279"/>
    <w:rsid w:val="004972D4"/>
    <w:rsid w:val="0049769A"/>
    <w:rsid w:val="00497B25"/>
    <w:rsid w:val="00497C1C"/>
    <w:rsid w:val="004A084E"/>
    <w:rsid w:val="004A22FE"/>
    <w:rsid w:val="004A2356"/>
    <w:rsid w:val="004A2397"/>
    <w:rsid w:val="004A25D3"/>
    <w:rsid w:val="004A2964"/>
    <w:rsid w:val="004A312E"/>
    <w:rsid w:val="004A33CA"/>
    <w:rsid w:val="004A3EE5"/>
    <w:rsid w:val="004A4308"/>
    <w:rsid w:val="004A4561"/>
    <w:rsid w:val="004A4A60"/>
    <w:rsid w:val="004A5146"/>
    <w:rsid w:val="004A573F"/>
    <w:rsid w:val="004A594C"/>
    <w:rsid w:val="004A5FBF"/>
    <w:rsid w:val="004A696D"/>
    <w:rsid w:val="004A76F8"/>
    <w:rsid w:val="004B0231"/>
    <w:rsid w:val="004B049D"/>
    <w:rsid w:val="004B09AF"/>
    <w:rsid w:val="004B0A19"/>
    <w:rsid w:val="004B118D"/>
    <w:rsid w:val="004B139C"/>
    <w:rsid w:val="004B14CE"/>
    <w:rsid w:val="004B18D8"/>
    <w:rsid w:val="004B1C60"/>
    <w:rsid w:val="004B1FD6"/>
    <w:rsid w:val="004B2329"/>
    <w:rsid w:val="004B24E3"/>
    <w:rsid w:val="004B4065"/>
    <w:rsid w:val="004B4A0E"/>
    <w:rsid w:val="004B51F6"/>
    <w:rsid w:val="004B5368"/>
    <w:rsid w:val="004B5769"/>
    <w:rsid w:val="004B5A31"/>
    <w:rsid w:val="004B5C94"/>
    <w:rsid w:val="004B60B0"/>
    <w:rsid w:val="004B630F"/>
    <w:rsid w:val="004B6B95"/>
    <w:rsid w:val="004B709B"/>
    <w:rsid w:val="004B733A"/>
    <w:rsid w:val="004C0019"/>
    <w:rsid w:val="004C0D3E"/>
    <w:rsid w:val="004C13E4"/>
    <w:rsid w:val="004C1906"/>
    <w:rsid w:val="004C1A4B"/>
    <w:rsid w:val="004C1FD5"/>
    <w:rsid w:val="004C24F9"/>
    <w:rsid w:val="004C2678"/>
    <w:rsid w:val="004C27B1"/>
    <w:rsid w:val="004C3B2A"/>
    <w:rsid w:val="004C5A9F"/>
    <w:rsid w:val="004C5F5D"/>
    <w:rsid w:val="004C5FFD"/>
    <w:rsid w:val="004C6522"/>
    <w:rsid w:val="004C66BF"/>
    <w:rsid w:val="004C7088"/>
    <w:rsid w:val="004C73BC"/>
    <w:rsid w:val="004C74BE"/>
    <w:rsid w:val="004C7B79"/>
    <w:rsid w:val="004D011B"/>
    <w:rsid w:val="004D06D5"/>
    <w:rsid w:val="004D0A92"/>
    <w:rsid w:val="004D0E82"/>
    <w:rsid w:val="004D12E3"/>
    <w:rsid w:val="004D1585"/>
    <w:rsid w:val="004D163A"/>
    <w:rsid w:val="004D1E8E"/>
    <w:rsid w:val="004D21E4"/>
    <w:rsid w:val="004D254F"/>
    <w:rsid w:val="004D3B0A"/>
    <w:rsid w:val="004D3F42"/>
    <w:rsid w:val="004D41A6"/>
    <w:rsid w:val="004D49C5"/>
    <w:rsid w:val="004D5A8A"/>
    <w:rsid w:val="004D5DD5"/>
    <w:rsid w:val="004D60A8"/>
    <w:rsid w:val="004D62C5"/>
    <w:rsid w:val="004D66B9"/>
    <w:rsid w:val="004D68EF"/>
    <w:rsid w:val="004D7D14"/>
    <w:rsid w:val="004D7E38"/>
    <w:rsid w:val="004E093E"/>
    <w:rsid w:val="004E13DE"/>
    <w:rsid w:val="004E189C"/>
    <w:rsid w:val="004E209F"/>
    <w:rsid w:val="004E2279"/>
    <w:rsid w:val="004E30CF"/>
    <w:rsid w:val="004E4B4C"/>
    <w:rsid w:val="004E4B6B"/>
    <w:rsid w:val="004E4F2A"/>
    <w:rsid w:val="004E5A18"/>
    <w:rsid w:val="004E5AA5"/>
    <w:rsid w:val="004E5FBA"/>
    <w:rsid w:val="004E6110"/>
    <w:rsid w:val="004E6F55"/>
    <w:rsid w:val="004E7151"/>
    <w:rsid w:val="004E7C36"/>
    <w:rsid w:val="004F1A31"/>
    <w:rsid w:val="004F1B26"/>
    <w:rsid w:val="004F1CBA"/>
    <w:rsid w:val="004F22F4"/>
    <w:rsid w:val="004F239A"/>
    <w:rsid w:val="004F253E"/>
    <w:rsid w:val="004F27C9"/>
    <w:rsid w:val="004F3365"/>
    <w:rsid w:val="004F3596"/>
    <w:rsid w:val="004F3BB3"/>
    <w:rsid w:val="004F3E85"/>
    <w:rsid w:val="004F47BA"/>
    <w:rsid w:val="004F56F9"/>
    <w:rsid w:val="004F57AE"/>
    <w:rsid w:val="004F5874"/>
    <w:rsid w:val="004F5BA9"/>
    <w:rsid w:val="004F79B2"/>
    <w:rsid w:val="004F7C23"/>
    <w:rsid w:val="005001BB"/>
    <w:rsid w:val="0050026C"/>
    <w:rsid w:val="00500A65"/>
    <w:rsid w:val="00501324"/>
    <w:rsid w:val="00501B08"/>
    <w:rsid w:val="00501E32"/>
    <w:rsid w:val="005024DB"/>
    <w:rsid w:val="0050274C"/>
    <w:rsid w:val="00503365"/>
    <w:rsid w:val="0050377C"/>
    <w:rsid w:val="005048F9"/>
    <w:rsid w:val="0050511E"/>
    <w:rsid w:val="00505B66"/>
    <w:rsid w:val="005062D6"/>
    <w:rsid w:val="00506595"/>
    <w:rsid w:val="00506A92"/>
    <w:rsid w:val="00507772"/>
    <w:rsid w:val="00507D4C"/>
    <w:rsid w:val="005101A7"/>
    <w:rsid w:val="005112EF"/>
    <w:rsid w:val="0051151D"/>
    <w:rsid w:val="00511AA6"/>
    <w:rsid w:val="00511AA9"/>
    <w:rsid w:val="0051262A"/>
    <w:rsid w:val="00512638"/>
    <w:rsid w:val="00512D03"/>
    <w:rsid w:val="00513414"/>
    <w:rsid w:val="00513601"/>
    <w:rsid w:val="005138CE"/>
    <w:rsid w:val="00513BAB"/>
    <w:rsid w:val="00514885"/>
    <w:rsid w:val="0051499C"/>
    <w:rsid w:val="005149FE"/>
    <w:rsid w:val="00514F4F"/>
    <w:rsid w:val="005167E6"/>
    <w:rsid w:val="00517D82"/>
    <w:rsid w:val="00520587"/>
    <w:rsid w:val="0052085A"/>
    <w:rsid w:val="00520C16"/>
    <w:rsid w:val="00521922"/>
    <w:rsid w:val="00521C0B"/>
    <w:rsid w:val="00521D5D"/>
    <w:rsid w:val="0052208C"/>
    <w:rsid w:val="00522424"/>
    <w:rsid w:val="00522C9B"/>
    <w:rsid w:val="005250C0"/>
    <w:rsid w:val="00525E33"/>
    <w:rsid w:val="00525E91"/>
    <w:rsid w:val="0052636B"/>
    <w:rsid w:val="00526FC2"/>
    <w:rsid w:val="0052786E"/>
    <w:rsid w:val="0052798E"/>
    <w:rsid w:val="005279BE"/>
    <w:rsid w:val="00527C8D"/>
    <w:rsid w:val="00527D62"/>
    <w:rsid w:val="00530AB1"/>
    <w:rsid w:val="00531BB2"/>
    <w:rsid w:val="00531BC9"/>
    <w:rsid w:val="00531DE0"/>
    <w:rsid w:val="005321A7"/>
    <w:rsid w:val="005329C4"/>
    <w:rsid w:val="00532E90"/>
    <w:rsid w:val="00532F09"/>
    <w:rsid w:val="005334C0"/>
    <w:rsid w:val="00533616"/>
    <w:rsid w:val="00533A43"/>
    <w:rsid w:val="00533D8D"/>
    <w:rsid w:val="005340E7"/>
    <w:rsid w:val="00534313"/>
    <w:rsid w:val="005343A9"/>
    <w:rsid w:val="0053450E"/>
    <w:rsid w:val="0053487D"/>
    <w:rsid w:val="00534AB7"/>
    <w:rsid w:val="00534D1E"/>
    <w:rsid w:val="005355F5"/>
    <w:rsid w:val="00536107"/>
    <w:rsid w:val="0053617E"/>
    <w:rsid w:val="00536550"/>
    <w:rsid w:val="00536660"/>
    <w:rsid w:val="00536B21"/>
    <w:rsid w:val="00536F2D"/>
    <w:rsid w:val="005374A6"/>
    <w:rsid w:val="005374E1"/>
    <w:rsid w:val="00537583"/>
    <w:rsid w:val="005375E1"/>
    <w:rsid w:val="00537662"/>
    <w:rsid w:val="00537CA0"/>
    <w:rsid w:val="00537E0A"/>
    <w:rsid w:val="00537FBB"/>
    <w:rsid w:val="00540287"/>
    <w:rsid w:val="005404EC"/>
    <w:rsid w:val="00540C85"/>
    <w:rsid w:val="0054141A"/>
    <w:rsid w:val="0054160B"/>
    <w:rsid w:val="00541780"/>
    <w:rsid w:val="005420C0"/>
    <w:rsid w:val="00542637"/>
    <w:rsid w:val="005426E3"/>
    <w:rsid w:val="0054274E"/>
    <w:rsid w:val="00542E88"/>
    <w:rsid w:val="0054355D"/>
    <w:rsid w:val="0054364A"/>
    <w:rsid w:val="005437B4"/>
    <w:rsid w:val="00543B37"/>
    <w:rsid w:val="00543D33"/>
    <w:rsid w:val="0054481A"/>
    <w:rsid w:val="00545905"/>
    <w:rsid w:val="00545C4F"/>
    <w:rsid w:val="00545FA8"/>
    <w:rsid w:val="00546EA0"/>
    <w:rsid w:val="00550177"/>
    <w:rsid w:val="00551ABD"/>
    <w:rsid w:val="00552505"/>
    <w:rsid w:val="005529A0"/>
    <w:rsid w:val="00552EB3"/>
    <w:rsid w:val="0055319A"/>
    <w:rsid w:val="00553298"/>
    <w:rsid w:val="005540FA"/>
    <w:rsid w:val="00555229"/>
    <w:rsid w:val="0055556F"/>
    <w:rsid w:val="0055559C"/>
    <w:rsid w:val="00556740"/>
    <w:rsid w:val="00556A1F"/>
    <w:rsid w:val="00557381"/>
    <w:rsid w:val="00557934"/>
    <w:rsid w:val="00557B7E"/>
    <w:rsid w:val="00557E73"/>
    <w:rsid w:val="00557F39"/>
    <w:rsid w:val="00557F3F"/>
    <w:rsid w:val="00557FD3"/>
    <w:rsid w:val="005603B4"/>
    <w:rsid w:val="005606CE"/>
    <w:rsid w:val="005609F6"/>
    <w:rsid w:val="00560A10"/>
    <w:rsid w:val="00560A2F"/>
    <w:rsid w:val="005613C1"/>
    <w:rsid w:val="0056144F"/>
    <w:rsid w:val="005619FB"/>
    <w:rsid w:val="00561B48"/>
    <w:rsid w:val="005621F6"/>
    <w:rsid w:val="00562760"/>
    <w:rsid w:val="00562B01"/>
    <w:rsid w:val="00562E48"/>
    <w:rsid w:val="0056362D"/>
    <w:rsid w:val="00563784"/>
    <w:rsid w:val="00564459"/>
    <w:rsid w:val="00564829"/>
    <w:rsid w:val="005648B4"/>
    <w:rsid w:val="00564A00"/>
    <w:rsid w:val="00564B17"/>
    <w:rsid w:val="00564C42"/>
    <w:rsid w:val="00565233"/>
    <w:rsid w:val="00565C75"/>
    <w:rsid w:val="00565EB8"/>
    <w:rsid w:val="0056627C"/>
    <w:rsid w:val="005668E7"/>
    <w:rsid w:val="0056692B"/>
    <w:rsid w:val="005669FD"/>
    <w:rsid w:val="00566EB3"/>
    <w:rsid w:val="00567BBD"/>
    <w:rsid w:val="00567E53"/>
    <w:rsid w:val="00570D37"/>
    <w:rsid w:val="00570DBD"/>
    <w:rsid w:val="00571058"/>
    <w:rsid w:val="0057168E"/>
    <w:rsid w:val="005717BB"/>
    <w:rsid w:val="00571A76"/>
    <w:rsid w:val="00571C93"/>
    <w:rsid w:val="00571F24"/>
    <w:rsid w:val="00572291"/>
    <w:rsid w:val="0057239E"/>
    <w:rsid w:val="00572410"/>
    <w:rsid w:val="005743AE"/>
    <w:rsid w:val="00574539"/>
    <w:rsid w:val="00574A72"/>
    <w:rsid w:val="00575170"/>
    <w:rsid w:val="00575CB8"/>
    <w:rsid w:val="0057608F"/>
    <w:rsid w:val="00576359"/>
    <w:rsid w:val="0057670B"/>
    <w:rsid w:val="005767E4"/>
    <w:rsid w:val="00576B99"/>
    <w:rsid w:val="0057700B"/>
    <w:rsid w:val="00577174"/>
    <w:rsid w:val="00577D89"/>
    <w:rsid w:val="0058125C"/>
    <w:rsid w:val="00581295"/>
    <w:rsid w:val="00581365"/>
    <w:rsid w:val="0058146C"/>
    <w:rsid w:val="005815CD"/>
    <w:rsid w:val="00581EAC"/>
    <w:rsid w:val="00582512"/>
    <w:rsid w:val="005839BC"/>
    <w:rsid w:val="00583E20"/>
    <w:rsid w:val="00583FEA"/>
    <w:rsid w:val="00584165"/>
    <w:rsid w:val="00584548"/>
    <w:rsid w:val="005845CE"/>
    <w:rsid w:val="005846E8"/>
    <w:rsid w:val="00585C99"/>
    <w:rsid w:val="00585ECF"/>
    <w:rsid w:val="005866C1"/>
    <w:rsid w:val="00586C70"/>
    <w:rsid w:val="00586E8D"/>
    <w:rsid w:val="0058707C"/>
    <w:rsid w:val="00587158"/>
    <w:rsid w:val="005871E7"/>
    <w:rsid w:val="00587362"/>
    <w:rsid w:val="00587567"/>
    <w:rsid w:val="00587F0E"/>
    <w:rsid w:val="0059015B"/>
    <w:rsid w:val="00590AC0"/>
    <w:rsid w:val="00590D2B"/>
    <w:rsid w:val="00590F5A"/>
    <w:rsid w:val="00591033"/>
    <w:rsid w:val="00591B05"/>
    <w:rsid w:val="0059267E"/>
    <w:rsid w:val="00593663"/>
    <w:rsid w:val="00593703"/>
    <w:rsid w:val="00593A5A"/>
    <w:rsid w:val="00593EE1"/>
    <w:rsid w:val="005940E4"/>
    <w:rsid w:val="005943D3"/>
    <w:rsid w:val="0059466E"/>
    <w:rsid w:val="00594942"/>
    <w:rsid w:val="00595491"/>
    <w:rsid w:val="00595E44"/>
    <w:rsid w:val="00595EEF"/>
    <w:rsid w:val="00596C20"/>
    <w:rsid w:val="00596F81"/>
    <w:rsid w:val="00597797"/>
    <w:rsid w:val="005A002D"/>
    <w:rsid w:val="005A02B1"/>
    <w:rsid w:val="005A074C"/>
    <w:rsid w:val="005A0E4B"/>
    <w:rsid w:val="005A100A"/>
    <w:rsid w:val="005A13D1"/>
    <w:rsid w:val="005A15E0"/>
    <w:rsid w:val="005A186B"/>
    <w:rsid w:val="005A1E44"/>
    <w:rsid w:val="005A2223"/>
    <w:rsid w:val="005A257F"/>
    <w:rsid w:val="005A2993"/>
    <w:rsid w:val="005A301B"/>
    <w:rsid w:val="005A43A4"/>
    <w:rsid w:val="005A4AF8"/>
    <w:rsid w:val="005A5104"/>
    <w:rsid w:val="005A522D"/>
    <w:rsid w:val="005A547F"/>
    <w:rsid w:val="005A5574"/>
    <w:rsid w:val="005A55C1"/>
    <w:rsid w:val="005A586F"/>
    <w:rsid w:val="005A59F3"/>
    <w:rsid w:val="005A5DDA"/>
    <w:rsid w:val="005A6A99"/>
    <w:rsid w:val="005A6EAF"/>
    <w:rsid w:val="005A6EF0"/>
    <w:rsid w:val="005A759A"/>
    <w:rsid w:val="005A786F"/>
    <w:rsid w:val="005A7DEA"/>
    <w:rsid w:val="005B085C"/>
    <w:rsid w:val="005B0B77"/>
    <w:rsid w:val="005B1A52"/>
    <w:rsid w:val="005B2805"/>
    <w:rsid w:val="005B2FD6"/>
    <w:rsid w:val="005B3323"/>
    <w:rsid w:val="005B42D6"/>
    <w:rsid w:val="005B4403"/>
    <w:rsid w:val="005B569E"/>
    <w:rsid w:val="005B5720"/>
    <w:rsid w:val="005B68C8"/>
    <w:rsid w:val="005B7258"/>
    <w:rsid w:val="005B788F"/>
    <w:rsid w:val="005C08EE"/>
    <w:rsid w:val="005C09DC"/>
    <w:rsid w:val="005C0B93"/>
    <w:rsid w:val="005C0C22"/>
    <w:rsid w:val="005C1F39"/>
    <w:rsid w:val="005C2616"/>
    <w:rsid w:val="005C269A"/>
    <w:rsid w:val="005C3165"/>
    <w:rsid w:val="005C3539"/>
    <w:rsid w:val="005C40C7"/>
    <w:rsid w:val="005C433F"/>
    <w:rsid w:val="005C4723"/>
    <w:rsid w:val="005C4CAC"/>
    <w:rsid w:val="005C4F9F"/>
    <w:rsid w:val="005C552D"/>
    <w:rsid w:val="005C5570"/>
    <w:rsid w:val="005C5D6F"/>
    <w:rsid w:val="005C5F2A"/>
    <w:rsid w:val="005C65DF"/>
    <w:rsid w:val="005C705C"/>
    <w:rsid w:val="005C710A"/>
    <w:rsid w:val="005C7DB4"/>
    <w:rsid w:val="005D00A9"/>
    <w:rsid w:val="005D0E13"/>
    <w:rsid w:val="005D0E99"/>
    <w:rsid w:val="005D119D"/>
    <w:rsid w:val="005D20D0"/>
    <w:rsid w:val="005D233A"/>
    <w:rsid w:val="005D2A33"/>
    <w:rsid w:val="005D3714"/>
    <w:rsid w:val="005D3C27"/>
    <w:rsid w:val="005D3CFE"/>
    <w:rsid w:val="005D4389"/>
    <w:rsid w:val="005D48D7"/>
    <w:rsid w:val="005D5198"/>
    <w:rsid w:val="005D5276"/>
    <w:rsid w:val="005D5448"/>
    <w:rsid w:val="005D5BB0"/>
    <w:rsid w:val="005D5D79"/>
    <w:rsid w:val="005D5FCB"/>
    <w:rsid w:val="005D775D"/>
    <w:rsid w:val="005D7FEE"/>
    <w:rsid w:val="005E0146"/>
    <w:rsid w:val="005E0282"/>
    <w:rsid w:val="005E0A3D"/>
    <w:rsid w:val="005E0BDD"/>
    <w:rsid w:val="005E0D82"/>
    <w:rsid w:val="005E1216"/>
    <w:rsid w:val="005E15E4"/>
    <w:rsid w:val="005E1740"/>
    <w:rsid w:val="005E17DF"/>
    <w:rsid w:val="005E1A6E"/>
    <w:rsid w:val="005E2625"/>
    <w:rsid w:val="005E2E04"/>
    <w:rsid w:val="005E388B"/>
    <w:rsid w:val="005E3AAF"/>
    <w:rsid w:val="005E3B96"/>
    <w:rsid w:val="005E3C63"/>
    <w:rsid w:val="005E3DD6"/>
    <w:rsid w:val="005E3EE4"/>
    <w:rsid w:val="005E4C43"/>
    <w:rsid w:val="005E4F9A"/>
    <w:rsid w:val="005E5DF3"/>
    <w:rsid w:val="005E704F"/>
    <w:rsid w:val="005E77BC"/>
    <w:rsid w:val="005F035E"/>
    <w:rsid w:val="005F06B7"/>
    <w:rsid w:val="005F0959"/>
    <w:rsid w:val="005F0B5A"/>
    <w:rsid w:val="005F13EC"/>
    <w:rsid w:val="005F164F"/>
    <w:rsid w:val="005F1748"/>
    <w:rsid w:val="005F1C70"/>
    <w:rsid w:val="005F1E6F"/>
    <w:rsid w:val="005F2C1E"/>
    <w:rsid w:val="005F2F06"/>
    <w:rsid w:val="005F341B"/>
    <w:rsid w:val="005F3E30"/>
    <w:rsid w:val="005F4229"/>
    <w:rsid w:val="005F4456"/>
    <w:rsid w:val="005F463D"/>
    <w:rsid w:val="005F4789"/>
    <w:rsid w:val="005F587A"/>
    <w:rsid w:val="005F6283"/>
    <w:rsid w:val="005F7798"/>
    <w:rsid w:val="00601404"/>
    <w:rsid w:val="00601997"/>
    <w:rsid w:val="0060291B"/>
    <w:rsid w:val="00602B4D"/>
    <w:rsid w:val="00602DDA"/>
    <w:rsid w:val="006041DA"/>
    <w:rsid w:val="006043DB"/>
    <w:rsid w:val="00604743"/>
    <w:rsid w:val="0060541B"/>
    <w:rsid w:val="00605AB5"/>
    <w:rsid w:val="00605C44"/>
    <w:rsid w:val="00605E1C"/>
    <w:rsid w:val="00605E7B"/>
    <w:rsid w:val="00606706"/>
    <w:rsid w:val="006070BA"/>
    <w:rsid w:val="00607438"/>
    <w:rsid w:val="0060744F"/>
    <w:rsid w:val="00610222"/>
    <w:rsid w:val="00610647"/>
    <w:rsid w:val="0061112D"/>
    <w:rsid w:val="00611757"/>
    <w:rsid w:val="006121C1"/>
    <w:rsid w:val="006128CB"/>
    <w:rsid w:val="006141DA"/>
    <w:rsid w:val="0061526E"/>
    <w:rsid w:val="00615772"/>
    <w:rsid w:val="00617533"/>
    <w:rsid w:val="00617C31"/>
    <w:rsid w:val="00617D05"/>
    <w:rsid w:val="0062098A"/>
    <w:rsid w:val="00620AB5"/>
    <w:rsid w:val="00620BD0"/>
    <w:rsid w:val="00620DF7"/>
    <w:rsid w:val="006214D8"/>
    <w:rsid w:val="006229E2"/>
    <w:rsid w:val="00622D8B"/>
    <w:rsid w:val="00622DDB"/>
    <w:rsid w:val="0062391D"/>
    <w:rsid w:val="00623AD3"/>
    <w:rsid w:val="00623AE0"/>
    <w:rsid w:val="00623FB8"/>
    <w:rsid w:val="0062417A"/>
    <w:rsid w:val="006246A7"/>
    <w:rsid w:val="00624F19"/>
    <w:rsid w:val="0062547D"/>
    <w:rsid w:val="00625B24"/>
    <w:rsid w:val="00625CA6"/>
    <w:rsid w:val="006268B2"/>
    <w:rsid w:val="00627039"/>
    <w:rsid w:val="00627866"/>
    <w:rsid w:val="00630338"/>
    <w:rsid w:val="006304D0"/>
    <w:rsid w:val="0063051A"/>
    <w:rsid w:val="006309F0"/>
    <w:rsid w:val="00630F95"/>
    <w:rsid w:val="006312F3"/>
    <w:rsid w:val="0063140E"/>
    <w:rsid w:val="0063161A"/>
    <w:rsid w:val="006317BC"/>
    <w:rsid w:val="00631AF8"/>
    <w:rsid w:val="00631BEF"/>
    <w:rsid w:val="0063208F"/>
    <w:rsid w:val="00632DEC"/>
    <w:rsid w:val="00632EE1"/>
    <w:rsid w:val="00633360"/>
    <w:rsid w:val="00633B53"/>
    <w:rsid w:val="0063487D"/>
    <w:rsid w:val="00634955"/>
    <w:rsid w:val="006349F0"/>
    <w:rsid w:val="00635242"/>
    <w:rsid w:val="00635E4D"/>
    <w:rsid w:val="00635F30"/>
    <w:rsid w:val="00636165"/>
    <w:rsid w:val="006361C8"/>
    <w:rsid w:val="0063701F"/>
    <w:rsid w:val="00637F72"/>
    <w:rsid w:val="00640306"/>
    <w:rsid w:val="00641EA3"/>
    <w:rsid w:val="0064261F"/>
    <w:rsid w:val="0064288E"/>
    <w:rsid w:val="00642A30"/>
    <w:rsid w:val="00643B8E"/>
    <w:rsid w:val="006443A0"/>
    <w:rsid w:val="00644617"/>
    <w:rsid w:val="006451A2"/>
    <w:rsid w:val="00645408"/>
    <w:rsid w:val="006454F1"/>
    <w:rsid w:val="006457BE"/>
    <w:rsid w:val="00646AD8"/>
    <w:rsid w:val="00647534"/>
    <w:rsid w:val="00647636"/>
    <w:rsid w:val="0064785E"/>
    <w:rsid w:val="006500D6"/>
    <w:rsid w:val="0065069E"/>
    <w:rsid w:val="00650902"/>
    <w:rsid w:val="00650FEC"/>
    <w:rsid w:val="006511F8"/>
    <w:rsid w:val="00651391"/>
    <w:rsid w:val="00651942"/>
    <w:rsid w:val="00651C12"/>
    <w:rsid w:val="00651F6E"/>
    <w:rsid w:val="006527F0"/>
    <w:rsid w:val="00652C05"/>
    <w:rsid w:val="00652CAA"/>
    <w:rsid w:val="0065482F"/>
    <w:rsid w:val="00654A07"/>
    <w:rsid w:val="00654DC0"/>
    <w:rsid w:val="00655655"/>
    <w:rsid w:val="00655B89"/>
    <w:rsid w:val="00655CB9"/>
    <w:rsid w:val="00655DCC"/>
    <w:rsid w:val="00655E44"/>
    <w:rsid w:val="00656566"/>
    <w:rsid w:val="00656BC8"/>
    <w:rsid w:val="006570D7"/>
    <w:rsid w:val="00657504"/>
    <w:rsid w:val="0066018E"/>
    <w:rsid w:val="006604AD"/>
    <w:rsid w:val="00660D03"/>
    <w:rsid w:val="00661288"/>
    <w:rsid w:val="00661964"/>
    <w:rsid w:val="00661F2C"/>
    <w:rsid w:val="00662788"/>
    <w:rsid w:val="00662EF1"/>
    <w:rsid w:val="00663B72"/>
    <w:rsid w:val="00663C1E"/>
    <w:rsid w:val="00663EC1"/>
    <w:rsid w:val="0066413A"/>
    <w:rsid w:val="006644EA"/>
    <w:rsid w:val="006646AF"/>
    <w:rsid w:val="006647E3"/>
    <w:rsid w:val="00664B3B"/>
    <w:rsid w:val="00666D3B"/>
    <w:rsid w:val="00666DFB"/>
    <w:rsid w:val="0066748F"/>
    <w:rsid w:val="0066779E"/>
    <w:rsid w:val="00667917"/>
    <w:rsid w:val="0066795E"/>
    <w:rsid w:val="00670625"/>
    <w:rsid w:val="006707CC"/>
    <w:rsid w:val="00670BC4"/>
    <w:rsid w:val="006721EB"/>
    <w:rsid w:val="006727ED"/>
    <w:rsid w:val="00672E4B"/>
    <w:rsid w:val="00673AD4"/>
    <w:rsid w:val="00673F84"/>
    <w:rsid w:val="00674720"/>
    <w:rsid w:val="00674815"/>
    <w:rsid w:val="006748C2"/>
    <w:rsid w:val="00674BC5"/>
    <w:rsid w:val="00675AEA"/>
    <w:rsid w:val="00675B9B"/>
    <w:rsid w:val="00675CC3"/>
    <w:rsid w:val="00675CDD"/>
    <w:rsid w:val="006760CF"/>
    <w:rsid w:val="006761D0"/>
    <w:rsid w:val="006766FB"/>
    <w:rsid w:val="00676A17"/>
    <w:rsid w:val="00676EAB"/>
    <w:rsid w:val="00677AAD"/>
    <w:rsid w:val="00677C9D"/>
    <w:rsid w:val="00680194"/>
    <w:rsid w:val="0068035A"/>
    <w:rsid w:val="006809C8"/>
    <w:rsid w:val="00680AAF"/>
    <w:rsid w:val="006813AC"/>
    <w:rsid w:val="006814A5"/>
    <w:rsid w:val="006822A4"/>
    <w:rsid w:val="0068235E"/>
    <w:rsid w:val="00682C4D"/>
    <w:rsid w:val="00683251"/>
    <w:rsid w:val="00683613"/>
    <w:rsid w:val="00683643"/>
    <w:rsid w:val="00684225"/>
    <w:rsid w:val="00684256"/>
    <w:rsid w:val="006842B7"/>
    <w:rsid w:val="0068431A"/>
    <w:rsid w:val="00684F40"/>
    <w:rsid w:val="006850F1"/>
    <w:rsid w:val="006859AB"/>
    <w:rsid w:val="00685BBD"/>
    <w:rsid w:val="0068635C"/>
    <w:rsid w:val="00686C82"/>
    <w:rsid w:val="006872BE"/>
    <w:rsid w:val="00687A3F"/>
    <w:rsid w:val="00687CF9"/>
    <w:rsid w:val="00687D83"/>
    <w:rsid w:val="0069085D"/>
    <w:rsid w:val="00690A04"/>
    <w:rsid w:val="00690A78"/>
    <w:rsid w:val="00690C52"/>
    <w:rsid w:val="006914BF"/>
    <w:rsid w:val="00691A42"/>
    <w:rsid w:val="00691B3C"/>
    <w:rsid w:val="00691C53"/>
    <w:rsid w:val="00692229"/>
    <w:rsid w:val="0069228B"/>
    <w:rsid w:val="00692636"/>
    <w:rsid w:val="00692D32"/>
    <w:rsid w:val="00692DC1"/>
    <w:rsid w:val="00693458"/>
    <w:rsid w:val="00693981"/>
    <w:rsid w:val="0069429C"/>
    <w:rsid w:val="00694C07"/>
    <w:rsid w:val="006953C3"/>
    <w:rsid w:val="0069578B"/>
    <w:rsid w:val="00695844"/>
    <w:rsid w:val="00695AED"/>
    <w:rsid w:val="00696190"/>
    <w:rsid w:val="00696212"/>
    <w:rsid w:val="0069694F"/>
    <w:rsid w:val="00696B21"/>
    <w:rsid w:val="00697089"/>
    <w:rsid w:val="006A0424"/>
    <w:rsid w:val="006A09B3"/>
    <w:rsid w:val="006A0A01"/>
    <w:rsid w:val="006A1205"/>
    <w:rsid w:val="006A135B"/>
    <w:rsid w:val="006A141C"/>
    <w:rsid w:val="006A14EA"/>
    <w:rsid w:val="006A1987"/>
    <w:rsid w:val="006A1A82"/>
    <w:rsid w:val="006A1AA4"/>
    <w:rsid w:val="006A1EA8"/>
    <w:rsid w:val="006A1ECD"/>
    <w:rsid w:val="006A2458"/>
    <w:rsid w:val="006A2E1B"/>
    <w:rsid w:val="006A371A"/>
    <w:rsid w:val="006A480E"/>
    <w:rsid w:val="006A4AD9"/>
    <w:rsid w:val="006A4C60"/>
    <w:rsid w:val="006A53D8"/>
    <w:rsid w:val="006A56DA"/>
    <w:rsid w:val="006A5E8C"/>
    <w:rsid w:val="006A621F"/>
    <w:rsid w:val="006A69DD"/>
    <w:rsid w:val="006A75F4"/>
    <w:rsid w:val="006A7C38"/>
    <w:rsid w:val="006B0D99"/>
    <w:rsid w:val="006B164F"/>
    <w:rsid w:val="006B1713"/>
    <w:rsid w:val="006B1883"/>
    <w:rsid w:val="006B1DBE"/>
    <w:rsid w:val="006B251C"/>
    <w:rsid w:val="006B26DA"/>
    <w:rsid w:val="006B34EA"/>
    <w:rsid w:val="006B3E78"/>
    <w:rsid w:val="006B40F7"/>
    <w:rsid w:val="006B4664"/>
    <w:rsid w:val="006B47CE"/>
    <w:rsid w:val="006B5244"/>
    <w:rsid w:val="006B5814"/>
    <w:rsid w:val="006B585A"/>
    <w:rsid w:val="006B646F"/>
    <w:rsid w:val="006B6E9B"/>
    <w:rsid w:val="006B7542"/>
    <w:rsid w:val="006C044F"/>
    <w:rsid w:val="006C0897"/>
    <w:rsid w:val="006C1410"/>
    <w:rsid w:val="006C1434"/>
    <w:rsid w:val="006C15E0"/>
    <w:rsid w:val="006C1981"/>
    <w:rsid w:val="006C1A1C"/>
    <w:rsid w:val="006C1A8A"/>
    <w:rsid w:val="006C1BCF"/>
    <w:rsid w:val="006C2002"/>
    <w:rsid w:val="006C2157"/>
    <w:rsid w:val="006C22A2"/>
    <w:rsid w:val="006C2601"/>
    <w:rsid w:val="006C3358"/>
    <w:rsid w:val="006C3483"/>
    <w:rsid w:val="006C375F"/>
    <w:rsid w:val="006C3813"/>
    <w:rsid w:val="006C3911"/>
    <w:rsid w:val="006C42C8"/>
    <w:rsid w:val="006C4958"/>
    <w:rsid w:val="006C5649"/>
    <w:rsid w:val="006C584A"/>
    <w:rsid w:val="006C6094"/>
    <w:rsid w:val="006C614F"/>
    <w:rsid w:val="006C6570"/>
    <w:rsid w:val="006C67FF"/>
    <w:rsid w:val="006C7107"/>
    <w:rsid w:val="006C7109"/>
    <w:rsid w:val="006C7EF3"/>
    <w:rsid w:val="006D0287"/>
    <w:rsid w:val="006D0C65"/>
    <w:rsid w:val="006D1729"/>
    <w:rsid w:val="006D1F0D"/>
    <w:rsid w:val="006D274E"/>
    <w:rsid w:val="006D3943"/>
    <w:rsid w:val="006D42D9"/>
    <w:rsid w:val="006D47B5"/>
    <w:rsid w:val="006D4AEA"/>
    <w:rsid w:val="006D52D2"/>
    <w:rsid w:val="006D5807"/>
    <w:rsid w:val="006D5D99"/>
    <w:rsid w:val="006D64A1"/>
    <w:rsid w:val="006D6640"/>
    <w:rsid w:val="006D6685"/>
    <w:rsid w:val="006D6F36"/>
    <w:rsid w:val="006D7CC9"/>
    <w:rsid w:val="006D7CF9"/>
    <w:rsid w:val="006D7DE0"/>
    <w:rsid w:val="006D7E14"/>
    <w:rsid w:val="006E0320"/>
    <w:rsid w:val="006E0CE0"/>
    <w:rsid w:val="006E0FA1"/>
    <w:rsid w:val="006E1213"/>
    <w:rsid w:val="006E1614"/>
    <w:rsid w:val="006E19D3"/>
    <w:rsid w:val="006E1DEE"/>
    <w:rsid w:val="006E24D4"/>
    <w:rsid w:val="006E2A75"/>
    <w:rsid w:val="006E33DF"/>
    <w:rsid w:val="006E3954"/>
    <w:rsid w:val="006E494E"/>
    <w:rsid w:val="006E4BBD"/>
    <w:rsid w:val="006E4BFD"/>
    <w:rsid w:val="006E5668"/>
    <w:rsid w:val="006E5F8C"/>
    <w:rsid w:val="006E63A2"/>
    <w:rsid w:val="006E67C7"/>
    <w:rsid w:val="006E6864"/>
    <w:rsid w:val="006E6A96"/>
    <w:rsid w:val="006E6F74"/>
    <w:rsid w:val="006E7258"/>
    <w:rsid w:val="006E7A14"/>
    <w:rsid w:val="006E7E03"/>
    <w:rsid w:val="006F04D1"/>
    <w:rsid w:val="006F0C14"/>
    <w:rsid w:val="006F0FA5"/>
    <w:rsid w:val="006F1137"/>
    <w:rsid w:val="006F2196"/>
    <w:rsid w:val="006F22B2"/>
    <w:rsid w:val="006F2EE2"/>
    <w:rsid w:val="006F3163"/>
    <w:rsid w:val="006F378E"/>
    <w:rsid w:val="006F399E"/>
    <w:rsid w:val="006F3E3A"/>
    <w:rsid w:val="006F3E71"/>
    <w:rsid w:val="006F40AD"/>
    <w:rsid w:val="006F4C03"/>
    <w:rsid w:val="006F5539"/>
    <w:rsid w:val="006F5B0C"/>
    <w:rsid w:val="006F5EDB"/>
    <w:rsid w:val="006F5FC5"/>
    <w:rsid w:val="006F61C2"/>
    <w:rsid w:val="006F63F1"/>
    <w:rsid w:val="006F6616"/>
    <w:rsid w:val="006F6881"/>
    <w:rsid w:val="006F6D1A"/>
    <w:rsid w:val="006F7250"/>
    <w:rsid w:val="006F76B5"/>
    <w:rsid w:val="006F7EAE"/>
    <w:rsid w:val="0070092F"/>
    <w:rsid w:val="00700987"/>
    <w:rsid w:val="00700A9B"/>
    <w:rsid w:val="00700D57"/>
    <w:rsid w:val="00700FD4"/>
    <w:rsid w:val="00701524"/>
    <w:rsid w:val="007018A9"/>
    <w:rsid w:val="00701A9A"/>
    <w:rsid w:val="007022E0"/>
    <w:rsid w:val="00702C1C"/>
    <w:rsid w:val="0070302F"/>
    <w:rsid w:val="007032CE"/>
    <w:rsid w:val="00703306"/>
    <w:rsid w:val="00703469"/>
    <w:rsid w:val="007037E0"/>
    <w:rsid w:val="00703FD0"/>
    <w:rsid w:val="007043B5"/>
    <w:rsid w:val="00704D63"/>
    <w:rsid w:val="007050E4"/>
    <w:rsid w:val="00705161"/>
    <w:rsid w:val="00705447"/>
    <w:rsid w:val="00705491"/>
    <w:rsid w:val="00705721"/>
    <w:rsid w:val="0070635D"/>
    <w:rsid w:val="00706D57"/>
    <w:rsid w:val="007077A8"/>
    <w:rsid w:val="00707B8F"/>
    <w:rsid w:val="00707F99"/>
    <w:rsid w:val="00710263"/>
    <w:rsid w:val="00710BA8"/>
    <w:rsid w:val="00710D60"/>
    <w:rsid w:val="00710DC7"/>
    <w:rsid w:val="00710DCE"/>
    <w:rsid w:val="00711266"/>
    <w:rsid w:val="00711991"/>
    <w:rsid w:val="0071216F"/>
    <w:rsid w:val="007128D3"/>
    <w:rsid w:val="00712BC0"/>
    <w:rsid w:val="00713416"/>
    <w:rsid w:val="00713FC4"/>
    <w:rsid w:val="00714173"/>
    <w:rsid w:val="00714882"/>
    <w:rsid w:val="00714AE6"/>
    <w:rsid w:val="00714DC9"/>
    <w:rsid w:val="00714F8F"/>
    <w:rsid w:val="007152B6"/>
    <w:rsid w:val="00715CD6"/>
    <w:rsid w:val="007161D9"/>
    <w:rsid w:val="00716250"/>
    <w:rsid w:val="00716298"/>
    <w:rsid w:val="0071652B"/>
    <w:rsid w:val="007165E2"/>
    <w:rsid w:val="007167C3"/>
    <w:rsid w:val="00716AF7"/>
    <w:rsid w:val="007170B3"/>
    <w:rsid w:val="00717F04"/>
    <w:rsid w:val="00720855"/>
    <w:rsid w:val="00720DC8"/>
    <w:rsid w:val="00721BD4"/>
    <w:rsid w:val="00721C55"/>
    <w:rsid w:val="00721C9E"/>
    <w:rsid w:val="00722589"/>
    <w:rsid w:val="007226D0"/>
    <w:rsid w:val="0072319E"/>
    <w:rsid w:val="007237CE"/>
    <w:rsid w:val="00723CAE"/>
    <w:rsid w:val="00723D8E"/>
    <w:rsid w:val="00724D45"/>
    <w:rsid w:val="00724D6D"/>
    <w:rsid w:val="007250DF"/>
    <w:rsid w:val="007256A5"/>
    <w:rsid w:val="00726297"/>
    <w:rsid w:val="00726A4F"/>
    <w:rsid w:val="00727065"/>
    <w:rsid w:val="007278D6"/>
    <w:rsid w:val="00727A8E"/>
    <w:rsid w:val="00727CB3"/>
    <w:rsid w:val="00727F07"/>
    <w:rsid w:val="0073018E"/>
    <w:rsid w:val="007310BF"/>
    <w:rsid w:val="0073138E"/>
    <w:rsid w:val="00731B1D"/>
    <w:rsid w:val="00731D89"/>
    <w:rsid w:val="0073226D"/>
    <w:rsid w:val="00732451"/>
    <w:rsid w:val="00732DB2"/>
    <w:rsid w:val="00732E51"/>
    <w:rsid w:val="007333DE"/>
    <w:rsid w:val="00734067"/>
    <w:rsid w:val="00734431"/>
    <w:rsid w:val="00734487"/>
    <w:rsid w:val="00735022"/>
    <w:rsid w:val="0073551F"/>
    <w:rsid w:val="00735F2E"/>
    <w:rsid w:val="00735FA5"/>
    <w:rsid w:val="0073682B"/>
    <w:rsid w:val="007368FD"/>
    <w:rsid w:val="00736A53"/>
    <w:rsid w:val="00737282"/>
    <w:rsid w:val="00737307"/>
    <w:rsid w:val="007373FE"/>
    <w:rsid w:val="00740244"/>
    <w:rsid w:val="007403E7"/>
    <w:rsid w:val="00740B1F"/>
    <w:rsid w:val="00740D5C"/>
    <w:rsid w:val="00740E36"/>
    <w:rsid w:val="007412E8"/>
    <w:rsid w:val="00741496"/>
    <w:rsid w:val="00741736"/>
    <w:rsid w:val="00741F36"/>
    <w:rsid w:val="007426B6"/>
    <w:rsid w:val="00742A8B"/>
    <w:rsid w:val="00743B3F"/>
    <w:rsid w:val="00744738"/>
    <w:rsid w:val="00744777"/>
    <w:rsid w:val="00745AE5"/>
    <w:rsid w:val="0074691C"/>
    <w:rsid w:val="00747740"/>
    <w:rsid w:val="007477DE"/>
    <w:rsid w:val="007479D0"/>
    <w:rsid w:val="00750003"/>
    <w:rsid w:val="007502B7"/>
    <w:rsid w:val="00751434"/>
    <w:rsid w:val="00751A31"/>
    <w:rsid w:val="00751BFC"/>
    <w:rsid w:val="0075308F"/>
    <w:rsid w:val="0075335B"/>
    <w:rsid w:val="00753463"/>
    <w:rsid w:val="00753621"/>
    <w:rsid w:val="00753B08"/>
    <w:rsid w:val="00753B87"/>
    <w:rsid w:val="00754504"/>
    <w:rsid w:val="007546BC"/>
    <w:rsid w:val="00754BB7"/>
    <w:rsid w:val="00754C5F"/>
    <w:rsid w:val="0075637C"/>
    <w:rsid w:val="007566CA"/>
    <w:rsid w:val="00756AD3"/>
    <w:rsid w:val="00756B13"/>
    <w:rsid w:val="00757ABA"/>
    <w:rsid w:val="00757D62"/>
    <w:rsid w:val="00757DEB"/>
    <w:rsid w:val="0076014C"/>
    <w:rsid w:val="00760154"/>
    <w:rsid w:val="00760281"/>
    <w:rsid w:val="0076029B"/>
    <w:rsid w:val="0076101F"/>
    <w:rsid w:val="00761611"/>
    <w:rsid w:val="00761CC1"/>
    <w:rsid w:val="00762551"/>
    <w:rsid w:val="00762A96"/>
    <w:rsid w:val="00763028"/>
    <w:rsid w:val="0076406A"/>
    <w:rsid w:val="00764168"/>
    <w:rsid w:val="00764A20"/>
    <w:rsid w:val="00764F7A"/>
    <w:rsid w:val="00765048"/>
    <w:rsid w:val="00765564"/>
    <w:rsid w:val="00765AB2"/>
    <w:rsid w:val="00765BCA"/>
    <w:rsid w:val="007663C6"/>
    <w:rsid w:val="00766403"/>
    <w:rsid w:val="007664D5"/>
    <w:rsid w:val="007668A3"/>
    <w:rsid w:val="007672EB"/>
    <w:rsid w:val="00767D00"/>
    <w:rsid w:val="00770555"/>
    <w:rsid w:val="007705D2"/>
    <w:rsid w:val="00770852"/>
    <w:rsid w:val="00770BC4"/>
    <w:rsid w:val="00771093"/>
    <w:rsid w:val="00771DB6"/>
    <w:rsid w:val="00771EF4"/>
    <w:rsid w:val="00772680"/>
    <w:rsid w:val="00772EB9"/>
    <w:rsid w:val="007735C6"/>
    <w:rsid w:val="007738CD"/>
    <w:rsid w:val="0077391C"/>
    <w:rsid w:val="00773B94"/>
    <w:rsid w:val="00773E0B"/>
    <w:rsid w:val="00773ED4"/>
    <w:rsid w:val="00774973"/>
    <w:rsid w:val="00774B59"/>
    <w:rsid w:val="007756F0"/>
    <w:rsid w:val="00775EEE"/>
    <w:rsid w:val="00775FCF"/>
    <w:rsid w:val="00776268"/>
    <w:rsid w:val="00776974"/>
    <w:rsid w:val="007769FD"/>
    <w:rsid w:val="00776CD0"/>
    <w:rsid w:val="007774B8"/>
    <w:rsid w:val="007775EF"/>
    <w:rsid w:val="0078031A"/>
    <w:rsid w:val="00780468"/>
    <w:rsid w:val="007807E9"/>
    <w:rsid w:val="00780ABA"/>
    <w:rsid w:val="00780F22"/>
    <w:rsid w:val="00781134"/>
    <w:rsid w:val="00781603"/>
    <w:rsid w:val="00781A9E"/>
    <w:rsid w:val="00781D49"/>
    <w:rsid w:val="0078204F"/>
    <w:rsid w:val="00782142"/>
    <w:rsid w:val="00782204"/>
    <w:rsid w:val="0078299E"/>
    <w:rsid w:val="00782AED"/>
    <w:rsid w:val="00783042"/>
    <w:rsid w:val="00783555"/>
    <w:rsid w:val="007839FC"/>
    <w:rsid w:val="00783CAA"/>
    <w:rsid w:val="00783DF8"/>
    <w:rsid w:val="00784B29"/>
    <w:rsid w:val="00785098"/>
    <w:rsid w:val="00785C03"/>
    <w:rsid w:val="00785E54"/>
    <w:rsid w:val="00785F1D"/>
    <w:rsid w:val="00786437"/>
    <w:rsid w:val="007864A0"/>
    <w:rsid w:val="007867DA"/>
    <w:rsid w:val="00786A51"/>
    <w:rsid w:val="00786D79"/>
    <w:rsid w:val="00786DD1"/>
    <w:rsid w:val="00787993"/>
    <w:rsid w:val="007879F6"/>
    <w:rsid w:val="00787ABF"/>
    <w:rsid w:val="00787BAD"/>
    <w:rsid w:val="00787C8A"/>
    <w:rsid w:val="00790A15"/>
    <w:rsid w:val="00790B4A"/>
    <w:rsid w:val="00791215"/>
    <w:rsid w:val="007916E9"/>
    <w:rsid w:val="00791C31"/>
    <w:rsid w:val="00791EE7"/>
    <w:rsid w:val="00792815"/>
    <w:rsid w:val="00792C94"/>
    <w:rsid w:val="0079312E"/>
    <w:rsid w:val="00793230"/>
    <w:rsid w:val="007936A2"/>
    <w:rsid w:val="00793933"/>
    <w:rsid w:val="00793D42"/>
    <w:rsid w:val="0079432D"/>
    <w:rsid w:val="007944A0"/>
    <w:rsid w:val="00794902"/>
    <w:rsid w:val="0079560F"/>
    <w:rsid w:val="00795776"/>
    <w:rsid w:val="00795BB0"/>
    <w:rsid w:val="00795F39"/>
    <w:rsid w:val="007967E3"/>
    <w:rsid w:val="00796C8A"/>
    <w:rsid w:val="00796CCD"/>
    <w:rsid w:val="00796F4B"/>
    <w:rsid w:val="0079750E"/>
    <w:rsid w:val="007A103D"/>
    <w:rsid w:val="007A1066"/>
    <w:rsid w:val="007A14A2"/>
    <w:rsid w:val="007A1E3C"/>
    <w:rsid w:val="007A1EBA"/>
    <w:rsid w:val="007A2129"/>
    <w:rsid w:val="007A25E1"/>
    <w:rsid w:val="007A2985"/>
    <w:rsid w:val="007A3520"/>
    <w:rsid w:val="007A3584"/>
    <w:rsid w:val="007A35B7"/>
    <w:rsid w:val="007A38C8"/>
    <w:rsid w:val="007A3D20"/>
    <w:rsid w:val="007A3F30"/>
    <w:rsid w:val="007A44AF"/>
    <w:rsid w:val="007A46CB"/>
    <w:rsid w:val="007A4EA7"/>
    <w:rsid w:val="007A66BD"/>
    <w:rsid w:val="007A699D"/>
    <w:rsid w:val="007A6C1E"/>
    <w:rsid w:val="007A76BC"/>
    <w:rsid w:val="007A774D"/>
    <w:rsid w:val="007A7913"/>
    <w:rsid w:val="007A7DF1"/>
    <w:rsid w:val="007A7F15"/>
    <w:rsid w:val="007B016D"/>
    <w:rsid w:val="007B0C64"/>
    <w:rsid w:val="007B11F6"/>
    <w:rsid w:val="007B123C"/>
    <w:rsid w:val="007B173D"/>
    <w:rsid w:val="007B2CFD"/>
    <w:rsid w:val="007B3178"/>
    <w:rsid w:val="007B3F04"/>
    <w:rsid w:val="007B4C1B"/>
    <w:rsid w:val="007B5453"/>
    <w:rsid w:val="007B5497"/>
    <w:rsid w:val="007B5770"/>
    <w:rsid w:val="007B6981"/>
    <w:rsid w:val="007B6C10"/>
    <w:rsid w:val="007B6D5D"/>
    <w:rsid w:val="007B6E25"/>
    <w:rsid w:val="007B72C4"/>
    <w:rsid w:val="007C04B2"/>
    <w:rsid w:val="007C1084"/>
    <w:rsid w:val="007C1557"/>
    <w:rsid w:val="007C1C70"/>
    <w:rsid w:val="007C20AA"/>
    <w:rsid w:val="007C2163"/>
    <w:rsid w:val="007C2255"/>
    <w:rsid w:val="007C232D"/>
    <w:rsid w:val="007C233D"/>
    <w:rsid w:val="007C310A"/>
    <w:rsid w:val="007C338A"/>
    <w:rsid w:val="007C34A1"/>
    <w:rsid w:val="007C3A2B"/>
    <w:rsid w:val="007C4008"/>
    <w:rsid w:val="007C414B"/>
    <w:rsid w:val="007C4165"/>
    <w:rsid w:val="007C4514"/>
    <w:rsid w:val="007C4D39"/>
    <w:rsid w:val="007C56C7"/>
    <w:rsid w:val="007C5848"/>
    <w:rsid w:val="007C60F1"/>
    <w:rsid w:val="007C642E"/>
    <w:rsid w:val="007C7B51"/>
    <w:rsid w:val="007C7BEF"/>
    <w:rsid w:val="007C7C3C"/>
    <w:rsid w:val="007C7F84"/>
    <w:rsid w:val="007D03CD"/>
    <w:rsid w:val="007D03DA"/>
    <w:rsid w:val="007D08BD"/>
    <w:rsid w:val="007D096C"/>
    <w:rsid w:val="007D0F1E"/>
    <w:rsid w:val="007D0F73"/>
    <w:rsid w:val="007D102A"/>
    <w:rsid w:val="007D1D84"/>
    <w:rsid w:val="007D1DC0"/>
    <w:rsid w:val="007D20DA"/>
    <w:rsid w:val="007D25FF"/>
    <w:rsid w:val="007D27D6"/>
    <w:rsid w:val="007D29FC"/>
    <w:rsid w:val="007D2C48"/>
    <w:rsid w:val="007D33A3"/>
    <w:rsid w:val="007D3941"/>
    <w:rsid w:val="007D3ADB"/>
    <w:rsid w:val="007D3C40"/>
    <w:rsid w:val="007D430C"/>
    <w:rsid w:val="007D4605"/>
    <w:rsid w:val="007D49D8"/>
    <w:rsid w:val="007D4DBA"/>
    <w:rsid w:val="007D4E81"/>
    <w:rsid w:val="007D518A"/>
    <w:rsid w:val="007D67E4"/>
    <w:rsid w:val="007D7194"/>
    <w:rsid w:val="007D7377"/>
    <w:rsid w:val="007D7B5D"/>
    <w:rsid w:val="007E03D9"/>
    <w:rsid w:val="007E097B"/>
    <w:rsid w:val="007E09E0"/>
    <w:rsid w:val="007E0A59"/>
    <w:rsid w:val="007E344D"/>
    <w:rsid w:val="007E39CE"/>
    <w:rsid w:val="007E4431"/>
    <w:rsid w:val="007E476F"/>
    <w:rsid w:val="007E4A68"/>
    <w:rsid w:val="007E5173"/>
    <w:rsid w:val="007E547D"/>
    <w:rsid w:val="007E5639"/>
    <w:rsid w:val="007E57B9"/>
    <w:rsid w:val="007E5B21"/>
    <w:rsid w:val="007E69A4"/>
    <w:rsid w:val="007E7265"/>
    <w:rsid w:val="007E78CA"/>
    <w:rsid w:val="007E7EC3"/>
    <w:rsid w:val="007F050C"/>
    <w:rsid w:val="007F0558"/>
    <w:rsid w:val="007F1038"/>
    <w:rsid w:val="007F1101"/>
    <w:rsid w:val="007F116D"/>
    <w:rsid w:val="007F14C0"/>
    <w:rsid w:val="007F155B"/>
    <w:rsid w:val="007F21AA"/>
    <w:rsid w:val="007F250B"/>
    <w:rsid w:val="007F25FB"/>
    <w:rsid w:val="007F2A5F"/>
    <w:rsid w:val="007F2B0E"/>
    <w:rsid w:val="007F2C5A"/>
    <w:rsid w:val="007F2CD7"/>
    <w:rsid w:val="007F33D5"/>
    <w:rsid w:val="007F4615"/>
    <w:rsid w:val="007F47DC"/>
    <w:rsid w:val="007F4B88"/>
    <w:rsid w:val="007F5C54"/>
    <w:rsid w:val="007F6895"/>
    <w:rsid w:val="007F7885"/>
    <w:rsid w:val="008001EC"/>
    <w:rsid w:val="0080098C"/>
    <w:rsid w:val="0080109C"/>
    <w:rsid w:val="0080245B"/>
    <w:rsid w:val="008026FF"/>
    <w:rsid w:val="00802CB1"/>
    <w:rsid w:val="00803684"/>
    <w:rsid w:val="0080441D"/>
    <w:rsid w:val="00804E76"/>
    <w:rsid w:val="008055F1"/>
    <w:rsid w:val="0080568B"/>
    <w:rsid w:val="00805B11"/>
    <w:rsid w:val="00805C20"/>
    <w:rsid w:val="00805CD6"/>
    <w:rsid w:val="008067E4"/>
    <w:rsid w:val="00807064"/>
    <w:rsid w:val="008071FC"/>
    <w:rsid w:val="0080749E"/>
    <w:rsid w:val="00807631"/>
    <w:rsid w:val="008077D2"/>
    <w:rsid w:val="0081004C"/>
    <w:rsid w:val="00810710"/>
    <w:rsid w:val="00810821"/>
    <w:rsid w:val="00811626"/>
    <w:rsid w:val="00811863"/>
    <w:rsid w:val="00811967"/>
    <w:rsid w:val="00811A5B"/>
    <w:rsid w:val="00811EDD"/>
    <w:rsid w:val="00811EF9"/>
    <w:rsid w:val="00812061"/>
    <w:rsid w:val="0081265E"/>
    <w:rsid w:val="00812ACF"/>
    <w:rsid w:val="00812C91"/>
    <w:rsid w:val="00813660"/>
    <w:rsid w:val="0081397E"/>
    <w:rsid w:val="0081414E"/>
    <w:rsid w:val="00814954"/>
    <w:rsid w:val="00814BE4"/>
    <w:rsid w:val="00814D9B"/>
    <w:rsid w:val="00814DF0"/>
    <w:rsid w:val="00815519"/>
    <w:rsid w:val="008158E9"/>
    <w:rsid w:val="00815E41"/>
    <w:rsid w:val="0081620A"/>
    <w:rsid w:val="00817492"/>
    <w:rsid w:val="00817598"/>
    <w:rsid w:val="00817B36"/>
    <w:rsid w:val="00817C9D"/>
    <w:rsid w:val="00817D06"/>
    <w:rsid w:val="0082004F"/>
    <w:rsid w:val="008200D7"/>
    <w:rsid w:val="00820232"/>
    <w:rsid w:val="0082052F"/>
    <w:rsid w:val="00820699"/>
    <w:rsid w:val="00820CF9"/>
    <w:rsid w:val="00821184"/>
    <w:rsid w:val="008214F9"/>
    <w:rsid w:val="0082161C"/>
    <w:rsid w:val="008222EB"/>
    <w:rsid w:val="00822AAE"/>
    <w:rsid w:val="00822BB8"/>
    <w:rsid w:val="00823709"/>
    <w:rsid w:val="00823927"/>
    <w:rsid w:val="008239E3"/>
    <w:rsid w:val="00823B0B"/>
    <w:rsid w:val="0082467C"/>
    <w:rsid w:val="00824C9A"/>
    <w:rsid w:val="00825668"/>
    <w:rsid w:val="00825CEF"/>
    <w:rsid w:val="008260CA"/>
    <w:rsid w:val="00827767"/>
    <w:rsid w:val="0083033D"/>
    <w:rsid w:val="008303B3"/>
    <w:rsid w:val="00830455"/>
    <w:rsid w:val="00830548"/>
    <w:rsid w:val="00830FF8"/>
    <w:rsid w:val="00831259"/>
    <w:rsid w:val="008312D5"/>
    <w:rsid w:val="00832458"/>
    <w:rsid w:val="00832ADC"/>
    <w:rsid w:val="0083322C"/>
    <w:rsid w:val="00833277"/>
    <w:rsid w:val="0083368F"/>
    <w:rsid w:val="00833910"/>
    <w:rsid w:val="00833912"/>
    <w:rsid w:val="00833D72"/>
    <w:rsid w:val="0083403B"/>
    <w:rsid w:val="00834DB5"/>
    <w:rsid w:val="00834EC8"/>
    <w:rsid w:val="008350C8"/>
    <w:rsid w:val="008350DD"/>
    <w:rsid w:val="0083561C"/>
    <w:rsid w:val="00835637"/>
    <w:rsid w:val="008356CE"/>
    <w:rsid w:val="0083578B"/>
    <w:rsid w:val="00835D65"/>
    <w:rsid w:val="0083676D"/>
    <w:rsid w:val="00836D59"/>
    <w:rsid w:val="008372E6"/>
    <w:rsid w:val="00837BA7"/>
    <w:rsid w:val="00840582"/>
    <w:rsid w:val="00840D64"/>
    <w:rsid w:val="008411A5"/>
    <w:rsid w:val="008414F0"/>
    <w:rsid w:val="00841516"/>
    <w:rsid w:val="00841E4E"/>
    <w:rsid w:val="00841F8B"/>
    <w:rsid w:val="00842044"/>
    <w:rsid w:val="008422F5"/>
    <w:rsid w:val="00842484"/>
    <w:rsid w:val="0084253B"/>
    <w:rsid w:val="00842CF8"/>
    <w:rsid w:val="00842E02"/>
    <w:rsid w:val="00842E75"/>
    <w:rsid w:val="00843109"/>
    <w:rsid w:val="008433CD"/>
    <w:rsid w:val="00843A4B"/>
    <w:rsid w:val="00843EC3"/>
    <w:rsid w:val="00844468"/>
    <w:rsid w:val="008444BB"/>
    <w:rsid w:val="008449A9"/>
    <w:rsid w:val="00844C86"/>
    <w:rsid w:val="008462DA"/>
    <w:rsid w:val="0084711B"/>
    <w:rsid w:val="00847B48"/>
    <w:rsid w:val="00847D33"/>
    <w:rsid w:val="00847F41"/>
    <w:rsid w:val="00847F45"/>
    <w:rsid w:val="008505B8"/>
    <w:rsid w:val="00850A05"/>
    <w:rsid w:val="008510D8"/>
    <w:rsid w:val="008512D9"/>
    <w:rsid w:val="00851968"/>
    <w:rsid w:val="00851A2B"/>
    <w:rsid w:val="008520F6"/>
    <w:rsid w:val="008526EC"/>
    <w:rsid w:val="00853033"/>
    <w:rsid w:val="00853598"/>
    <w:rsid w:val="00853599"/>
    <w:rsid w:val="008538B4"/>
    <w:rsid w:val="00853C59"/>
    <w:rsid w:val="0085424B"/>
    <w:rsid w:val="0085425F"/>
    <w:rsid w:val="00854501"/>
    <w:rsid w:val="00854D8B"/>
    <w:rsid w:val="00855125"/>
    <w:rsid w:val="00855245"/>
    <w:rsid w:val="00855CBC"/>
    <w:rsid w:val="008564C2"/>
    <w:rsid w:val="008565BD"/>
    <w:rsid w:val="00856C7F"/>
    <w:rsid w:val="00856D14"/>
    <w:rsid w:val="00857E68"/>
    <w:rsid w:val="00860942"/>
    <w:rsid w:val="00860C55"/>
    <w:rsid w:val="008611DB"/>
    <w:rsid w:val="00861675"/>
    <w:rsid w:val="00861747"/>
    <w:rsid w:val="00861CCE"/>
    <w:rsid w:val="00862285"/>
    <w:rsid w:val="00862ED3"/>
    <w:rsid w:val="008631EA"/>
    <w:rsid w:val="008634D1"/>
    <w:rsid w:val="00863611"/>
    <w:rsid w:val="00863953"/>
    <w:rsid w:val="00863F96"/>
    <w:rsid w:val="008641A9"/>
    <w:rsid w:val="0086442D"/>
    <w:rsid w:val="008644D3"/>
    <w:rsid w:val="00865095"/>
    <w:rsid w:val="00865B30"/>
    <w:rsid w:val="00865F1F"/>
    <w:rsid w:val="0087003E"/>
    <w:rsid w:val="00871433"/>
    <w:rsid w:val="00871665"/>
    <w:rsid w:val="008718F6"/>
    <w:rsid w:val="00872E30"/>
    <w:rsid w:val="0087302F"/>
    <w:rsid w:val="008730D1"/>
    <w:rsid w:val="008732C4"/>
    <w:rsid w:val="00873DFA"/>
    <w:rsid w:val="00873E1E"/>
    <w:rsid w:val="0087622A"/>
    <w:rsid w:val="0087784E"/>
    <w:rsid w:val="00877B14"/>
    <w:rsid w:val="00877F76"/>
    <w:rsid w:val="00877F88"/>
    <w:rsid w:val="00880460"/>
    <w:rsid w:val="008815AA"/>
    <w:rsid w:val="00881760"/>
    <w:rsid w:val="0088185B"/>
    <w:rsid w:val="00882164"/>
    <w:rsid w:val="008821B5"/>
    <w:rsid w:val="00883226"/>
    <w:rsid w:val="008832D1"/>
    <w:rsid w:val="00883568"/>
    <w:rsid w:val="00883E0B"/>
    <w:rsid w:val="008841DE"/>
    <w:rsid w:val="00884471"/>
    <w:rsid w:val="00884503"/>
    <w:rsid w:val="0088456D"/>
    <w:rsid w:val="00884D54"/>
    <w:rsid w:val="0088506E"/>
    <w:rsid w:val="00885D40"/>
    <w:rsid w:val="00885E5E"/>
    <w:rsid w:val="00886191"/>
    <w:rsid w:val="00886AB1"/>
    <w:rsid w:val="00886B52"/>
    <w:rsid w:val="00891108"/>
    <w:rsid w:val="00891244"/>
    <w:rsid w:val="00891894"/>
    <w:rsid w:val="008920CA"/>
    <w:rsid w:val="0089229C"/>
    <w:rsid w:val="0089241D"/>
    <w:rsid w:val="00892608"/>
    <w:rsid w:val="0089263A"/>
    <w:rsid w:val="00892EAE"/>
    <w:rsid w:val="00892ED4"/>
    <w:rsid w:val="00893264"/>
    <w:rsid w:val="00893277"/>
    <w:rsid w:val="008943B1"/>
    <w:rsid w:val="00894553"/>
    <w:rsid w:val="0089579A"/>
    <w:rsid w:val="00895913"/>
    <w:rsid w:val="00895B72"/>
    <w:rsid w:val="008961AD"/>
    <w:rsid w:val="00897D90"/>
    <w:rsid w:val="008A02FA"/>
    <w:rsid w:val="008A0624"/>
    <w:rsid w:val="008A0896"/>
    <w:rsid w:val="008A0E5D"/>
    <w:rsid w:val="008A1510"/>
    <w:rsid w:val="008A165D"/>
    <w:rsid w:val="008A16AF"/>
    <w:rsid w:val="008A16D8"/>
    <w:rsid w:val="008A1A5C"/>
    <w:rsid w:val="008A1CF2"/>
    <w:rsid w:val="008A227E"/>
    <w:rsid w:val="008A27E3"/>
    <w:rsid w:val="008A2E23"/>
    <w:rsid w:val="008A369B"/>
    <w:rsid w:val="008A39F2"/>
    <w:rsid w:val="008A3CC4"/>
    <w:rsid w:val="008A4717"/>
    <w:rsid w:val="008A5B31"/>
    <w:rsid w:val="008A60D6"/>
    <w:rsid w:val="008A68E4"/>
    <w:rsid w:val="008A6DAD"/>
    <w:rsid w:val="008B00E0"/>
    <w:rsid w:val="008B08E4"/>
    <w:rsid w:val="008B0D2B"/>
    <w:rsid w:val="008B0D53"/>
    <w:rsid w:val="008B0EA1"/>
    <w:rsid w:val="008B14D4"/>
    <w:rsid w:val="008B15F2"/>
    <w:rsid w:val="008B16F6"/>
    <w:rsid w:val="008B1DFC"/>
    <w:rsid w:val="008B2844"/>
    <w:rsid w:val="008B29FB"/>
    <w:rsid w:val="008B3723"/>
    <w:rsid w:val="008B414E"/>
    <w:rsid w:val="008B46FD"/>
    <w:rsid w:val="008B49C3"/>
    <w:rsid w:val="008B4E04"/>
    <w:rsid w:val="008B5731"/>
    <w:rsid w:val="008B5AF0"/>
    <w:rsid w:val="008B5D1F"/>
    <w:rsid w:val="008B65BD"/>
    <w:rsid w:val="008B6FA1"/>
    <w:rsid w:val="008B77D8"/>
    <w:rsid w:val="008B7BB3"/>
    <w:rsid w:val="008C0035"/>
    <w:rsid w:val="008C02D9"/>
    <w:rsid w:val="008C0D64"/>
    <w:rsid w:val="008C0FB4"/>
    <w:rsid w:val="008C11FA"/>
    <w:rsid w:val="008C17EC"/>
    <w:rsid w:val="008C1BE1"/>
    <w:rsid w:val="008C2242"/>
    <w:rsid w:val="008C24ED"/>
    <w:rsid w:val="008C2626"/>
    <w:rsid w:val="008C2A4C"/>
    <w:rsid w:val="008C34C2"/>
    <w:rsid w:val="008C3842"/>
    <w:rsid w:val="008C3F60"/>
    <w:rsid w:val="008C421A"/>
    <w:rsid w:val="008C4389"/>
    <w:rsid w:val="008C488C"/>
    <w:rsid w:val="008C519F"/>
    <w:rsid w:val="008C533B"/>
    <w:rsid w:val="008C5BF0"/>
    <w:rsid w:val="008C6098"/>
    <w:rsid w:val="008C6BC7"/>
    <w:rsid w:val="008C71DF"/>
    <w:rsid w:val="008C736F"/>
    <w:rsid w:val="008C7939"/>
    <w:rsid w:val="008C7D9F"/>
    <w:rsid w:val="008D0186"/>
    <w:rsid w:val="008D062D"/>
    <w:rsid w:val="008D0C77"/>
    <w:rsid w:val="008D13C8"/>
    <w:rsid w:val="008D14E2"/>
    <w:rsid w:val="008D24AC"/>
    <w:rsid w:val="008D2CF8"/>
    <w:rsid w:val="008D3DAD"/>
    <w:rsid w:val="008D43B0"/>
    <w:rsid w:val="008D44A7"/>
    <w:rsid w:val="008D4887"/>
    <w:rsid w:val="008D4BA0"/>
    <w:rsid w:val="008D4C3F"/>
    <w:rsid w:val="008D4F4B"/>
    <w:rsid w:val="008D4F7F"/>
    <w:rsid w:val="008D5288"/>
    <w:rsid w:val="008D53B3"/>
    <w:rsid w:val="008D6A62"/>
    <w:rsid w:val="008D7A48"/>
    <w:rsid w:val="008D7FAF"/>
    <w:rsid w:val="008E0257"/>
    <w:rsid w:val="008E088A"/>
    <w:rsid w:val="008E0A0B"/>
    <w:rsid w:val="008E0A97"/>
    <w:rsid w:val="008E0ACA"/>
    <w:rsid w:val="008E0DE3"/>
    <w:rsid w:val="008E14A6"/>
    <w:rsid w:val="008E16DE"/>
    <w:rsid w:val="008E1A1D"/>
    <w:rsid w:val="008E1A51"/>
    <w:rsid w:val="008E1AAC"/>
    <w:rsid w:val="008E1E8C"/>
    <w:rsid w:val="008E2584"/>
    <w:rsid w:val="008E25EF"/>
    <w:rsid w:val="008E2712"/>
    <w:rsid w:val="008E2B21"/>
    <w:rsid w:val="008E2C7C"/>
    <w:rsid w:val="008E2F75"/>
    <w:rsid w:val="008E3744"/>
    <w:rsid w:val="008E46F4"/>
    <w:rsid w:val="008E48A9"/>
    <w:rsid w:val="008E4AE4"/>
    <w:rsid w:val="008E505E"/>
    <w:rsid w:val="008E590D"/>
    <w:rsid w:val="008E6181"/>
    <w:rsid w:val="008E625E"/>
    <w:rsid w:val="008E735D"/>
    <w:rsid w:val="008E7366"/>
    <w:rsid w:val="008E746C"/>
    <w:rsid w:val="008E7CD7"/>
    <w:rsid w:val="008E7F53"/>
    <w:rsid w:val="008F1050"/>
    <w:rsid w:val="008F1942"/>
    <w:rsid w:val="008F259E"/>
    <w:rsid w:val="008F25B2"/>
    <w:rsid w:val="008F29F2"/>
    <w:rsid w:val="008F2A7C"/>
    <w:rsid w:val="008F2F4B"/>
    <w:rsid w:val="008F323F"/>
    <w:rsid w:val="008F36A4"/>
    <w:rsid w:val="008F4189"/>
    <w:rsid w:val="008F429B"/>
    <w:rsid w:val="008F5480"/>
    <w:rsid w:val="008F5BCF"/>
    <w:rsid w:val="008F5D55"/>
    <w:rsid w:val="008F5EED"/>
    <w:rsid w:val="008F5F1E"/>
    <w:rsid w:val="008F6CF3"/>
    <w:rsid w:val="008F7849"/>
    <w:rsid w:val="00900E4D"/>
    <w:rsid w:val="00902ECC"/>
    <w:rsid w:val="009032AB"/>
    <w:rsid w:val="00903529"/>
    <w:rsid w:val="009035E8"/>
    <w:rsid w:val="00903704"/>
    <w:rsid w:val="0090470C"/>
    <w:rsid w:val="009049FA"/>
    <w:rsid w:val="009060C8"/>
    <w:rsid w:val="00906D61"/>
    <w:rsid w:val="00910149"/>
    <w:rsid w:val="0091110D"/>
    <w:rsid w:val="009117AD"/>
    <w:rsid w:val="009120BE"/>
    <w:rsid w:val="00912461"/>
    <w:rsid w:val="00913237"/>
    <w:rsid w:val="00913252"/>
    <w:rsid w:val="0091326B"/>
    <w:rsid w:val="009133BF"/>
    <w:rsid w:val="0091417D"/>
    <w:rsid w:val="00914311"/>
    <w:rsid w:val="0091480F"/>
    <w:rsid w:val="00914BA2"/>
    <w:rsid w:val="00914EE3"/>
    <w:rsid w:val="00915A5A"/>
    <w:rsid w:val="00915B3F"/>
    <w:rsid w:val="00915C4A"/>
    <w:rsid w:val="00915EA6"/>
    <w:rsid w:val="009163F0"/>
    <w:rsid w:val="009166C3"/>
    <w:rsid w:val="0091736D"/>
    <w:rsid w:val="00917A7B"/>
    <w:rsid w:val="00920336"/>
    <w:rsid w:val="00920631"/>
    <w:rsid w:val="009208E6"/>
    <w:rsid w:val="00920CAD"/>
    <w:rsid w:val="00921CEC"/>
    <w:rsid w:val="0092255A"/>
    <w:rsid w:val="00923587"/>
    <w:rsid w:val="009237D6"/>
    <w:rsid w:val="00924319"/>
    <w:rsid w:val="009246FF"/>
    <w:rsid w:val="00924A8C"/>
    <w:rsid w:val="00924BFD"/>
    <w:rsid w:val="0092523F"/>
    <w:rsid w:val="009267C3"/>
    <w:rsid w:val="00927651"/>
    <w:rsid w:val="00930416"/>
    <w:rsid w:val="00930C2B"/>
    <w:rsid w:val="00930D90"/>
    <w:rsid w:val="00930FA4"/>
    <w:rsid w:val="00931FCF"/>
    <w:rsid w:val="009321B1"/>
    <w:rsid w:val="00932AC9"/>
    <w:rsid w:val="00932AF5"/>
    <w:rsid w:val="00932DF1"/>
    <w:rsid w:val="00932E5C"/>
    <w:rsid w:val="009330F2"/>
    <w:rsid w:val="00934054"/>
    <w:rsid w:val="0093415C"/>
    <w:rsid w:val="009342F0"/>
    <w:rsid w:val="0093474E"/>
    <w:rsid w:val="00934C38"/>
    <w:rsid w:val="009350EB"/>
    <w:rsid w:val="009354DF"/>
    <w:rsid w:val="009354E9"/>
    <w:rsid w:val="009355AC"/>
    <w:rsid w:val="009359A9"/>
    <w:rsid w:val="00935D0B"/>
    <w:rsid w:val="00935E43"/>
    <w:rsid w:val="00936891"/>
    <w:rsid w:val="00936A77"/>
    <w:rsid w:val="009370F4"/>
    <w:rsid w:val="009378F8"/>
    <w:rsid w:val="0093791A"/>
    <w:rsid w:val="00937DA0"/>
    <w:rsid w:val="00937DE1"/>
    <w:rsid w:val="0094007E"/>
    <w:rsid w:val="009401E0"/>
    <w:rsid w:val="009401F2"/>
    <w:rsid w:val="00940CEB"/>
    <w:rsid w:val="00940E2B"/>
    <w:rsid w:val="00940FA2"/>
    <w:rsid w:val="009418B1"/>
    <w:rsid w:val="009426C0"/>
    <w:rsid w:val="00942C12"/>
    <w:rsid w:val="00943146"/>
    <w:rsid w:val="009439C9"/>
    <w:rsid w:val="00943BCE"/>
    <w:rsid w:val="00943ED0"/>
    <w:rsid w:val="00944CC7"/>
    <w:rsid w:val="009452C6"/>
    <w:rsid w:val="009453AC"/>
    <w:rsid w:val="00945C89"/>
    <w:rsid w:val="00945D33"/>
    <w:rsid w:val="00946490"/>
    <w:rsid w:val="00946993"/>
    <w:rsid w:val="00946C04"/>
    <w:rsid w:val="00946CCD"/>
    <w:rsid w:val="00947114"/>
    <w:rsid w:val="00947C4B"/>
    <w:rsid w:val="00947CE9"/>
    <w:rsid w:val="00947F61"/>
    <w:rsid w:val="009502BD"/>
    <w:rsid w:val="00950F20"/>
    <w:rsid w:val="0095150F"/>
    <w:rsid w:val="009515F4"/>
    <w:rsid w:val="0095189D"/>
    <w:rsid w:val="00951EFA"/>
    <w:rsid w:val="00952137"/>
    <w:rsid w:val="00952843"/>
    <w:rsid w:val="009529B5"/>
    <w:rsid w:val="00952C30"/>
    <w:rsid w:val="009539A5"/>
    <w:rsid w:val="00953B44"/>
    <w:rsid w:val="00953CB6"/>
    <w:rsid w:val="00954240"/>
    <w:rsid w:val="00954775"/>
    <w:rsid w:val="009550D8"/>
    <w:rsid w:val="009558CF"/>
    <w:rsid w:val="009567BE"/>
    <w:rsid w:val="00956995"/>
    <w:rsid w:val="00956DB7"/>
    <w:rsid w:val="00957736"/>
    <w:rsid w:val="00957EC4"/>
    <w:rsid w:val="00960325"/>
    <w:rsid w:val="00960FB5"/>
    <w:rsid w:val="00961684"/>
    <w:rsid w:val="00961CFE"/>
    <w:rsid w:val="009623C3"/>
    <w:rsid w:val="0096243F"/>
    <w:rsid w:val="009624C1"/>
    <w:rsid w:val="0096318F"/>
    <w:rsid w:val="00963695"/>
    <w:rsid w:val="00963EA8"/>
    <w:rsid w:val="0096485A"/>
    <w:rsid w:val="00964945"/>
    <w:rsid w:val="00965500"/>
    <w:rsid w:val="00965A17"/>
    <w:rsid w:val="00965A7C"/>
    <w:rsid w:val="0096659B"/>
    <w:rsid w:val="0096708A"/>
    <w:rsid w:val="00967511"/>
    <w:rsid w:val="009676F2"/>
    <w:rsid w:val="00967E6A"/>
    <w:rsid w:val="00970128"/>
    <w:rsid w:val="00971504"/>
    <w:rsid w:val="009717D9"/>
    <w:rsid w:val="00971BDE"/>
    <w:rsid w:val="00971D79"/>
    <w:rsid w:val="00972BB0"/>
    <w:rsid w:val="00972BCA"/>
    <w:rsid w:val="009731C7"/>
    <w:rsid w:val="00974020"/>
    <w:rsid w:val="00974139"/>
    <w:rsid w:val="00974957"/>
    <w:rsid w:val="00974998"/>
    <w:rsid w:val="009749ED"/>
    <w:rsid w:val="00975072"/>
    <w:rsid w:val="009751BE"/>
    <w:rsid w:val="00975E3C"/>
    <w:rsid w:val="00975F5E"/>
    <w:rsid w:val="009762FF"/>
    <w:rsid w:val="00976AC1"/>
    <w:rsid w:val="00977757"/>
    <w:rsid w:val="00977A49"/>
    <w:rsid w:val="00977FC0"/>
    <w:rsid w:val="0098021C"/>
    <w:rsid w:val="00980604"/>
    <w:rsid w:val="00980A21"/>
    <w:rsid w:val="009814AA"/>
    <w:rsid w:val="009819EC"/>
    <w:rsid w:val="00981EE1"/>
    <w:rsid w:val="00982408"/>
    <w:rsid w:val="00982721"/>
    <w:rsid w:val="00982910"/>
    <w:rsid w:val="00982F12"/>
    <w:rsid w:val="0098416F"/>
    <w:rsid w:val="00984500"/>
    <w:rsid w:val="009846D5"/>
    <w:rsid w:val="0098554B"/>
    <w:rsid w:val="009856FB"/>
    <w:rsid w:val="00985887"/>
    <w:rsid w:val="009859D8"/>
    <w:rsid w:val="00985B6D"/>
    <w:rsid w:val="00985F7B"/>
    <w:rsid w:val="00986419"/>
    <w:rsid w:val="00987B70"/>
    <w:rsid w:val="00987B78"/>
    <w:rsid w:val="00987E21"/>
    <w:rsid w:val="0099075A"/>
    <w:rsid w:val="00990F12"/>
    <w:rsid w:val="00991565"/>
    <w:rsid w:val="00991AD1"/>
    <w:rsid w:val="0099265D"/>
    <w:rsid w:val="00992783"/>
    <w:rsid w:val="00992898"/>
    <w:rsid w:val="00992E1D"/>
    <w:rsid w:val="009937A1"/>
    <w:rsid w:val="009940BC"/>
    <w:rsid w:val="009941B9"/>
    <w:rsid w:val="00994A15"/>
    <w:rsid w:val="009950A1"/>
    <w:rsid w:val="00995122"/>
    <w:rsid w:val="0099550E"/>
    <w:rsid w:val="0099567D"/>
    <w:rsid w:val="00996371"/>
    <w:rsid w:val="0099682C"/>
    <w:rsid w:val="009968DE"/>
    <w:rsid w:val="00996984"/>
    <w:rsid w:val="00996987"/>
    <w:rsid w:val="00996A6D"/>
    <w:rsid w:val="00997B57"/>
    <w:rsid w:val="009A06EA"/>
    <w:rsid w:val="009A0E5B"/>
    <w:rsid w:val="009A1150"/>
    <w:rsid w:val="009A131C"/>
    <w:rsid w:val="009A18C4"/>
    <w:rsid w:val="009A1D4E"/>
    <w:rsid w:val="009A1E67"/>
    <w:rsid w:val="009A1FD7"/>
    <w:rsid w:val="009A2E51"/>
    <w:rsid w:val="009A2F4A"/>
    <w:rsid w:val="009A322F"/>
    <w:rsid w:val="009A3409"/>
    <w:rsid w:val="009A3527"/>
    <w:rsid w:val="009A3851"/>
    <w:rsid w:val="009A38CA"/>
    <w:rsid w:val="009A38E9"/>
    <w:rsid w:val="009A39D4"/>
    <w:rsid w:val="009A3A34"/>
    <w:rsid w:val="009A3A83"/>
    <w:rsid w:val="009A3EAE"/>
    <w:rsid w:val="009A42E3"/>
    <w:rsid w:val="009A45B2"/>
    <w:rsid w:val="009A4827"/>
    <w:rsid w:val="009A554F"/>
    <w:rsid w:val="009A59CE"/>
    <w:rsid w:val="009A6169"/>
    <w:rsid w:val="009A6351"/>
    <w:rsid w:val="009A6536"/>
    <w:rsid w:val="009A676E"/>
    <w:rsid w:val="009A67C5"/>
    <w:rsid w:val="009A77CA"/>
    <w:rsid w:val="009B0036"/>
    <w:rsid w:val="009B0EE8"/>
    <w:rsid w:val="009B16A9"/>
    <w:rsid w:val="009B1C2B"/>
    <w:rsid w:val="009B1FE0"/>
    <w:rsid w:val="009B2332"/>
    <w:rsid w:val="009B2CEE"/>
    <w:rsid w:val="009B35DF"/>
    <w:rsid w:val="009B3863"/>
    <w:rsid w:val="009B4DFB"/>
    <w:rsid w:val="009B500E"/>
    <w:rsid w:val="009B5530"/>
    <w:rsid w:val="009B55B5"/>
    <w:rsid w:val="009B590E"/>
    <w:rsid w:val="009B6529"/>
    <w:rsid w:val="009B6784"/>
    <w:rsid w:val="009B6B98"/>
    <w:rsid w:val="009B6BE5"/>
    <w:rsid w:val="009B72F7"/>
    <w:rsid w:val="009B768B"/>
    <w:rsid w:val="009B77F3"/>
    <w:rsid w:val="009B7A75"/>
    <w:rsid w:val="009C0EEE"/>
    <w:rsid w:val="009C1577"/>
    <w:rsid w:val="009C2966"/>
    <w:rsid w:val="009C3846"/>
    <w:rsid w:val="009C38AB"/>
    <w:rsid w:val="009C3AC3"/>
    <w:rsid w:val="009C4147"/>
    <w:rsid w:val="009C429C"/>
    <w:rsid w:val="009C42E1"/>
    <w:rsid w:val="009C51E9"/>
    <w:rsid w:val="009C58FA"/>
    <w:rsid w:val="009C5DC0"/>
    <w:rsid w:val="009C6043"/>
    <w:rsid w:val="009C69AB"/>
    <w:rsid w:val="009C74A8"/>
    <w:rsid w:val="009C7A75"/>
    <w:rsid w:val="009C7E13"/>
    <w:rsid w:val="009D091A"/>
    <w:rsid w:val="009D0B8D"/>
    <w:rsid w:val="009D0F9B"/>
    <w:rsid w:val="009D102B"/>
    <w:rsid w:val="009D2DEE"/>
    <w:rsid w:val="009D3286"/>
    <w:rsid w:val="009D3347"/>
    <w:rsid w:val="009D3703"/>
    <w:rsid w:val="009D44EB"/>
    <w:rsid w:val="009D4DE7"/>
    <w:rsid w:val="009D4EA6"/>
    <w:rsid w:val="009D4FD8"/>
    <w:rsid w:val="009D54CD"/>
    <w:rsid w:val="009D5F1F"/>
    <w:rsid w:val="009D6937"/>
    <w:rsid w:val="009D6C09"/>
    <w:rsid w:val="009D7778"/>
    <w:rsid w:val="009D788A"/>
    <w:rsid w:val="009D7A28"/>
    <w:rsid w:val="009E09FA"/>
    <w:rsid w:val="009E0A49"/>
    <w:rsid w:val="009E1253"/>
    <w:rsid w:val="009E14E3"/>
    <w:rsid w:val="009E1A75"/>
    <w:rsid w:val="009E1BBA"/>
    <w:rsid w:val="009E1FB8"/>
    <w:rsid w:val="009E20D0"/>
    <w:rsid w:val="009E20D1"/>
    <w:rsid w:val="009E3075"/>
    <w:rsid w:val="009E4844"/>
    <w:rsid w:val="009E4A48"/>
    <w:rsid w:val="009E4B09"/>
    <w:rsid w:val="009E4E1F"/>
    <w:rsid w:val="009E5628"/>
    <w:rsid w:val="009E579B"/>
    <w:rsid w:val="009E5BD0"/>
    <w:rsid w:val="009E61D6"/>
    <w:rsid w:val="009E64E1"/>
    <w:rsid w:val="009E66BA"/>
    <w:rsid w:val="009E6AA7"/>
    <w:rsid w:val="009E7F0B"/>
    <w:rsid w:val="009F0B71"/>
    <w:rsid w:val="009F1A00"/>
    <w:rsid w:val="009F1BC7"/>
    <w:rsid w:val="009F1C30"/>
    <w:rsid w:val="009F1D61"/>
    <w:rsid w:val="009F214D"/>
    <w:rsid w:val="009F21A0"/>
    <w:rsid w:val="009F243A"/>
    <w:rsid w:val="009F2B95"/>
    <w:rsid w:val="009F2ECC"/>
    <w:rsid w:val="009F3F25"/>
    <w:rsid w:val="009F4083"/>
    <w:rsid w:val="009F4DB7"/>
    <w:rsid w:val="009F52C5"/>
    <w:rsid w:val="009F5697"/>
    <w:rsid w:val="009F5C55"/>
    <w:rsid w:val="009F5C8B"/>
    <w:rsid w:val="009F64B5"/>
    <w:rsid w:val="009F68B5"/>
    <w:rsid w:val="009F6B33"/>
    <w:rsid w:val="00A00B73"/>
    <w:rsid w:val="00A00D0E"/>
    <w:rsid w:val="00A01362"/>
    <w:rsid w:val="00A01699"/>
    <w:rsid w:val="00A02921"/>
    <w:rsid w:val="00A0331A"/>
    <w:rsid w:val="00A04070"/>
    <w:rsid w:val="00A0447F"/>
    <w:rsid w:val="00A044B5"/>
    <w:rsid w:val="00A04A1A"/>
    <w:rsid w:val="00A04A78"/>
    <w:rsid w:val="00A04AE8"/>
    <w:rsid w:val="00A04C8D"/>
    <w:rsid w:val="00A04EB3"/>
    <w:rsid w:val="00A04ED1"/>
    <w:rsid w:val="00A05110"/>
    <w:rsid w:val="00A05137"/>
    <w:rsid w:val="00A05586"/>
    <w:rsid w:val="00A05FD2"/>
    <w:rsid w:val="00A0600A"/>
    <w:rsid w:val="00A06562"/>
    <w:rsid w:val="00A06BFF"/>
    <w:rsid w:val="00A06D2A"/>
    <w:rsid w:val="00A07034"/>
    <w:rsid w:val="00A07394"/>
    <w:rsid w:val="00A111A7"/>
    <w:rsid w:val="00A112CC"/>
    <w:rsid w:val="00A1158B"/>
    <w:rsid w:val="00A11F67"/>
    <w:rsid w:val="00A1234A"/>
    <w:rsid w:val="00A12576"/>
    <w:rsid w:val="00A12FBE"/>
    <w:rsid w:val="00A132A8"/>
    <w:rsid w:val="00A13A52"/>
    <w:rsid w:val="00A13D30"/>
    <w:rsid w:val="00A13D4C"/>
    <w:rsid w:val="00A1404C"/>
    <w:rsid w:val="00A14872"/>
    <w:rsid w:val="00A148D8"/>
    <w:rsid w:val="00A15A08"/>
    <w:rsid w:val="00A15F8A"/>
    <w:rsid w:val="00A160A2"/>
    <w:rsid w:val="00A164BA"/>
    <w:rsid w:val="00A16713"/>
    <w:rsid w:val="00A16812"/>
    <w:rsid w:val="00A171D1"/>
    <w:rsid w:val="00A17489"/>
    <w:rsid w:val="00A1754A"/>
    <w:rsid w:val="00A17A21"/>
    <w:rsid w:val="00A17A35"/>
    <w:rsid w:val="00A17D40"/>
    <w:rsid w:val="00A20207"/>
    <w:rsid w:val="00A20404"/>
    <w:rsid w:val="00A20BF4"/>
    <w:rsid w:val="00A20FC6"/>
    <w:rsid w:val="00A20FC7"/>
    <w:rsid w:val="00A21146"/>
    <w:rsid w:val="00A21658"/>
    <w:rsid w:val="00A217BC"/>
    <w:rsid w:val="00A2193D"/>
    <w:rsid w:val="00A21C21"/>
    <w:rsid w:val="00A22983"/>
    <w:rsid w:val="00A2328D"/>
    <w:rsid w:val="00A2398B"/>
    <w:rsid w:val="00A246CE"/>
    <w:rsid w:val="00A247FA"/>
    <w:rsid w:val="00A250DF"/>
    <w:rsid w:val="00A254CE"/>
    <w:rsid w:val="00A25761"/>
    <w:rsid w:val="00A26956"/>
    <w:rsid w:val="00A26F08"/>
    <w:rsid w:val="00A279F4"/>
    <w:rsid w:val="00A300B5"/>
    <w:rsid w:val="00A3037E"/>
    <w:rsid w:val="00A307B0"/>
    <w:rsid w:val="00A30A03"/>
    <w:rsid w:val="00A313E2"/>
    <w:rsid w:val="00A313E9"/>
    <w:rsid w:val="00A31FDC"/>
    <w:rsid w:val="00A32055"/>
    <w:rsid w:val="00A327C6"/>
    <w:rsid w:val="00A3291A"/>
    <w:rsid w:val="00A32CAA"/>
    <w:rsid w:val="00A33365"/>
    <w:rsid w:val="00A3390E"/>
    <w:rsid w:val="00A33DA7"/>
    <w:rsid w:val="00A33EDF"/>
    <w:rsid w:val="00A34008"/>
    <w:rsid w:val="00A34038"/>
    <w:rsid w:val="00A3495D"/>
    <w:rsid w:val="00A34CE0"/>
    <w:rsid w:val="00A3584E"/>
    <w:rsid w:val="00A3598D"/>
    <w:rsid w:val="00A35D66"/>
    <w:rsid w:val="00A36A09"/>
    <w:rsid w:val="00A37126"/>
    <w:rsid w:val="00A372CA"/>
    <w:rsid w:val="00A37809"/>
    <w:rsid w:val="00A3795A"/>
    <w:rsid w:val="00A37CAA"/>
    <w:rsid w:val="00A37D45"/>
    <w:rsid w:val="00A4022A"/>
    <w:rsid w:val="00A406A6"/>
    <w:rsid w:val="00A406F7"/>
    <w:rsid w:val="00A40775"/>
    <w:rsid w:val="00A40FCF"/>
    <w:rsid w:val="00A41121"/>
    <w:rsid w:val="00A412BE"/>
    <w:rsid w:val="00A417A8"/>
    <w:rsid w:val="00A42393"/>
    <w:rsid w:val="00A425CA"/>
    <w:rsid w:val="00A428BD"/>
    <w:rsid w:val="00A42A8A"/>
    <w:rsid w:val="00A42EE7"/>
    <w:rsid w:val="00A43247"/>
    <w:rsid w:val="00A43453"/>
    <w:rsid w:val="00A454E9"/>
    <w:rsid w:val="00A457EC"/>
    <w:rsid w:val="00A45E5F"/>
    <w:rsid w:val="00A45E8A"/>
    <w:rsid w:val="00A46B97"/>
    <w:rsid w:val="00A47652"/>
    <w:rsid w:val="00A47A83"/>
    <w:rsid w:val="00A51709"/>
    <w:rsid w:val="00A51D86"/>
    <w:rsid w:val="00A526A2"/>
    <w:rsid w:val="00A52965"/>
    <w:rsid w:val="00A52E2D"/>
    <w:rsid w:val="00A533F8"/>
    <w:rsid w:val="00A53404"/>
    <w:rsid w:val="00A536BA"/>
    <w:rsid w:val="00A53B97"/>
    <w:rsid w:val="00A53E4C"/>
    <w:rsid w:val="00A546F8"/>
    <w:rsid w:val="00A5488C"/>
    <w:rsid w:val="00A54A82"/>
    <w:rsid w:val="00A5567F"/>
    <w:rsid w:val="00A5649C"/>
    <w:rsid w:val="00A56BD5"/>
    <w:rsid w:val="00A56FDA"/>
    <w:rsid w:val="00A5777E"/>
    <w:rsid w:val="00A57C8E"/>
    <w:rsid w:val="00A60E1D"/>
    <w:rsid w:val="00A61002"/>
    <w:rsid w:val="00A614F7"/>
    <w:rsid w:val="00A61EFC"/>
    <w:rsid w:val="00A61FD4"/>
    <w:rsid w:val="00A62BCE"/>
    <w:rsid w:val="00A62F33"/>
    <w:rsid w:val="00A6343B"/>
    <w:rsid w:val="00A64539"/>
    <w:rsid w:val="00A64542"/>
    <w:rsid w:val="00A646FD"/>
    <w:rsid w:val="00A649EF"/>
    <w:rsid w:val="00A64AB4"/>
    <w:rsid w:val="00A64E3A"/>
    <w:rsid w:val="00A652D5"/>
    <w:rsid w:val="00A65B98"/>
    <w:rsid w:val="00A65E42"/>
    <w:rsid w:val="00A6635C"/>
    <w:rsid w:val="00A670D3"/>
    <w:rsid w:val="00A67207"/>
    <w:rsid w:val="00A67AEA"/>
    <w:rsid w:val="00A67C4D"/>
    <w:rsid w:val="00A701FE"/>
    <w:rsid w:val="00A706A1"/>
    <w:rsid w:val="00A70D38"/>
    <w:rsid w:val="00A71BB1"/>
    <w:rsid w:val="00A72051"/>
    <w:rsid w:val="00A73967"/>
    <w:rsid w:val="00A739CE"/>
    <w:rsid w:val="00A7410B"/>
    <w:rsid w:val="00A74BB6"/>
    <w:rsid w:val="00A74FB1"/>
    <w:rsid w:val="00A7524A"/>
    <w:rsid w:val="00A75383"/>
    <w:rsid w:val="00A7612D"/>
    <w:rsid w:val="00A77584"/>
    <w:rsid w:val="00A777C1"/>
    <w:rsid w:val="00A7788A"/>
    <w:rsid w:val="00A778CA"/>
    <w:rsid w:val="00A779F9"/>
    <w:rsid w:val="00A77A07"/>
    <w:rsid w:val="00A77F32"/>
    <w:rsid w:val="00A8037F"/>
    <w:rsid w:val="00A80549"/>
    <w:rsid w:val="00A805BC"/>
    <w:rsid w:val="00A806C2"/>
    <w:rsid w:val="00A80D07"/>
    <w:rsid w:val="00A813E8"/>
    <w:rsid w:val="00A814D9"/>
    <w:rsid w:val="00A81A3F"/>
    <w:rsid w:val="00A81F30"/>
    <w:rsid w:val="00A8301F"/>
    <w:rsid w:val="00A83EB4"/>
    <w:rsid w:val="00A84063"/>
    <w:rsid w:val="00A84672"/>
    <w:rsid w:val="00A84BBB"/>
    <w:rsid w:val="00A8531B"/>
    <w:rsid w:val="00A854A3"/>
    <w:rsid w:val="00A85A7F"/>
    <w:rsid w:val="00A85E08"/>
    <w:rsid w:val="00A8741A"/>
    <w:rsid w:val="00A87D44"/>
    <w:rsid w:val="00A90B9F"/>
    <w:rsid w:val="00A91259"/>
    <w:rsid w:val="00A914B6"/>
    <w:rsid w:val="00A9194D"/>
    <w:rsid w:val="00A925F0"/>
    <w:rsid w:val="00A92F27"/>
    <w:rsid w:val="00A94342"/>
    <w:rsid w:val="00A944DE"/>
    <w:rsid w:val="00A94717"/>
    <w:rsid w:val="00A94863"/>
    <w:rsid w:val="00A949C9"/>
    <w:rsid w:val="00A962AC"/>
    <w:rsid w:val="00A96BB6"/>
    <w:rsid w:val="00A9710D"/>
    <w:rsid w:val="00A9751D"/>
    <w:rsid w:val="00AA0195"/>
    <w:rsid w:val="00AA15B7"/>
    <w:rsid w:val="00AA2665"/>
    <w:rsid w:val="00AA26B2"/>
    <w:rsid w:val="00AA2C6D"/>
    <w:rsid w:val="00AA2CE4"/>
    <w:rsid w:val="00AA34F1"/>
    <w:rsid w:val="00AA4458"/>
    <w:rsid w:val="00AA44A7"/>
    <w:rsid w:val="00AA44FA"/>
    <w:rsid w:val="00AA4806"/>
    <w:rsid w:val="00AA58EB"/>
    <w:rsid w:val="00AA5CE3"/>
    <w:rsid w:val="00AA62F0"/>
    <w:rsid w:val="00AA69C0"/>
    <w:rsid w:val="00AA6DE3"/>
    <w:rsid w:val="00AA71EF"/>
    <w:rsid w:val="00AA7B96"/>
    <w:rsid w:val="00AA7EDD"/>
    <w:rsid w:val="00AB1433"/>
    <w:rsid w:val="00AB14B5"/>
    <w:rsid w:val="00AB1733"/>
    <w:rsid w:val="00AB1DEF"/>
    <w:rsid w:val="00AB2379"/>
    <w:rsid w:val="00AB295B"/>
    <w:rsid w:val="00AB2ECD"/>
    <w:rsid w:val="00AB3083"/>
    <w:rsid w:val="00AB35C9"/>
    <w:rsid w:val="00AB3E3F"/>
    <w:rsid w:val="00AB4334"/>
    <w:rsid w:val="00AB462E"/>
    <w:rsid w:val="00AB464B"/>
    <w:rsid w:val="00AB5571"/>
    <w:rsid w:val="00AB5874"/>
    <w:rsid w:val="00AB5A3A"/>
    <w:rsid w:val="00AB608F"/>
    <w:rsid w:val="00AB708E"/>
    <w:rsid w:val="00AB72E4"/>
    <w:rsid w:val="00AB7D58"/>
    <w:rsid w:val="00AB7F85"/>
    <w:rsid w:val="00AC065D"/>
    <w:rsid w:val="00AC111A"/>
    <w:rsid w:val="00AC14D3"/>
    <w:rsid w:val="00AC269C"/>
    <w:rsid w:val="00AC325A"/>
    <w:rsid w:val="00AC418A"/>
    <w:rsid w:val="00AC493B"/>
    <w:rsid w:val="00AC5127"/>
    <w:rsid w:val="00AC54D1"/>
    <w:rsid w:val="00AC55E0"/>
    <w:rsid w:val="00AC6060"/>
    <w:rsid w:val="00AC6805"/>
    <w:rsid w:val="00AC68B4"/>
    <w:rsid w:val="00AC68CB"/>
    <w:rsid w:val="00AC7E9B"/>
    <w:rsid w:val="00AD09FF"/>
    <w:rsid w:val="00AD0BF5"/>
    <w:rsid w:val="00AD22C7"/>
    <w:rsid w:val="00AD26C6"/>
    <w:rsid w:val="00AD31C9"/>
    <w:rsid w:val="00AD374C"/>
    <w:rsid w:val="00AD392C"/>
    <w:rsid w:val="00AD3AF7"/>
    <w:rsid w:val="00AD4046"/>
    <w:rsid w:val="00AD45A8"/>
    <w:rsid w:val="00AD49DC"/>
    <w:rsid w:val="00AD4B4B"/>
    <w:rsid w:val="00AD5188"/>
    <w:rsid w:val="00AD5EB2"/>
    <w:rsid w:val="00AD6283"/>
    <w:rsid w:val="00AD6864"/>
    <w:rsid w:val="00AD6C63"/>
    <w:rsid w:val="00AD6EF6"/>
    <w:rsid w:val="00AD7065"/>
    <w:rsid w:val="00AD7685"/>
    <w:rsid w:val="00AD76E4"/>
    <w:rsid w:val="00AD7B12"/>
    <w:rsid w:val="00AD7DB8"/>
    <w:rsid w:val="00AD7F5C"/>
    <w:rsid w:val="00AD7FB9"/>
    <w:rsid w:val="00AE0182"/>
    <w:rsid w:val="00AE0A63"/>
    <w:rsid w:val="00AE0B81"/>
    <w:rsid w:val="00AE130E"/>
    <w:rsid w:val="00AE1804"/>
    <w:rsid w:val="00AE1BC2"/>
    <w:rsid w:val="00AE1DF3"/>
    <w:rsid w:val="00AE1E19"/>
    <w:rsid w:val="00AE27AA"/>
    <w:rsid w:val="00AE2924"/>
    <w:rsid w:val="00AE3DCF"/>
    <w:rsid w:val="00AE42C8"/>
    <w:rsid w:val="00AE431C"/>
    <w:rsid w:val="00AE446D"/>
    <w:rsid w:val="00AE4A05"/>
    <w:rsid w:val="00AE536C"/>
    <w:rsid w:val="00AE57FA"/>
    <w:rsid w:val="00AE5936"/>
    <w:rsid w:val="00AE5A51"/>
    <w:rsid w:val="00AE65D8"/>
    <w:rsid w:val="00AE6634"/>
    <w:rsid w:val="00AE7805"/>
    <w:rsid w:val="00AE7F8A"/>
    <w:rsid w:val="00AF0431"/>
    <w:rsid w:val="00AF043E"/>
    <w:rsid w:val="00AF105A"/>
    <w:rsid w:val="00AF1313"/>
    <w:rsid w:val="00AF14CE"/>
    <w:rsid w:val="00AF15F6"/>
    <w:rsid w:val="00AF1D31"/>
    <w:rsid w:val="00AF1DE3"/>
    <w:rsid w:val="00AF2DDA"/>
    <w:rsid w:val="00AF3187"/>
    <w:rsid w:val="00AF32A3"/>
    <w:rsid w:val="00AF32D6"/>
    <w:rsid w:val="00AF33CE"/>
    <w:rsid w:val="00AF3469"/>
    <w:rsid w:val="00AF3637"/>
    <w:rsid w:val="00AF3898"/>
    <w:rsid w:val="00AF3A31"/>
    <w:rsid w:val="00AF3A42"/>
    <w:rsid w:val="00AF3B20"/>
    <w:rsid w:val="00AF42C0"/>
    <w:rsid w:val="00AF4365"/>
    <w:rsid w:val="00AF4FA1"/>
    <w:rsid w:val="00AF5E83"/>
    <w:rsid w:val="00AF6381"/>
    <w:rsid w:val="00AF72B6"/>
    <w:rsid w:val="00B001AB"/>
    <w:rsid w:val="00B00474"/>
    <w:rsid w:val="00B00969"/>
    <w:rsid w:val="00B020B9"/>
    <w:rsid w:val="00B035EF"/>
    <w:rsid w:val="00B03FC3"/>
    <w:rsid w:val="00B05BFF"/>
    <w:rsid w:val="00B0617D"/>
    <w:rsid w:val="00B06324"/>
    <w:rsid w:val="00B06564"/>
    <w:rsid w:val="00B0704E"/>
    <w:rsid w:val="00B07931"/>
    <w:rsid w:val="00B07A3C"/>
    <w:rsid w:val="00B07C63"/>
    <w:rsid w:val="00B07D3F"/>
    <w:rsid w:val="00B107A0"/>
    <w:rsid w:val="00B118B6"/>
    <w:rsid w:val="00B118D1"/>
    <w:rsid w:val="00B11AE1"/>
    <w:rsid w:val="00B12489"/>
    <w:rsid w:val="00B13027"/>
    <w:rsid w:val="00B130B6"/>
    <w:rsid w:val="00B137B0"/>
    <w:rsid w:val="00B13937"/>
    <w:rsid w:val="00B13BFF"/>
    <w:rsid w:val="00B1407E"/>
    <w:rsid w:val="00B14A95"/>
    <w:rsid w:val="00B14EE1"/>
    <w:rsid w:val="00B15068"/>
    <w:rsid w:val="00B150F7"/>
    <w:rsid w:val="00B15F1B"/>
    <w:rsid w:val="00B15F2D"/>
    <w:rsid w:val="00B166D1"/>
    <w:rsid w:val="00B16B6F"/>
    <w:rsid w:val="00B16FF3"/>
    <w:rsid w:val="00B170AE"/>
    <w:rsid w:val="00B17116"/>
    <w:rsid w:val="00B171BD"/>
    <w:rsid w:val="00B172F8"/>
    <w:rsid w:val="00B179DA"/>
    <w:rsid w:val="00B17E01"/>
    <w:rsid w:val="00B20874"/>
    <w:rsid w:val="00B20B4E"/>
    <w:rsid w:val="00B20F00"/>
    <w:rsid w:val="00B2234B"/>
    <w:rsid w:val="00B22674"/>
    <w:rsid w:val="00B22F70"/>
    <w:rsid w:val="00B23234"/>
    <w:rsid w:val="00B234A7"/>
    <w:rsid w:val="00B23596"/>
    <w:rsid w:val="00B235DA"/>
    <w:rsid w:val="00B2496C"/>
    <w:rsid w:val="00B250EE"/>
    <w:rsid w:val="00B2514F"/>
    <w:rsid w:val="00B25907"/>
    <w:rsid w:val="00B25BCD"/>
    <w:rsid w:val="00B262B5"/>
    <w:rsid w:val="00B26637"/>
    <w:rsid w:val="00B26BA3"/>
    <w:rsid w:val="00B26CEE"/>
    <w:rsid w:val="00B26FA8"/>
    <w:rsid w:val="00B27AAE"/>
    <w:rsid w:val="00B30369"/>
    <w:rsid w:val="00B305C9"/>
    <w:rsid w:val="00B30847"/>
    <w:rsid w:val="00B310A3"/>
    <w:rsid w:val="00B31AD3"/>
    <w:rsid w:val="00B31C69"/>
    <w:rsid w:val="00B32379"/>
    <w:rsid w:val="00B33475"/>
    <w:rsid w:val="00B3397F"/>
    <w:rsid w:val="00B33B93"/>
    <w:rsid w:val="00B33C72"/>
    <w:rsid w:val="00B3412E"/>
    <w:rsid w:val="00B342A9"/>
    <w:rsid w:val="00B34A09"/>
    <w:rsid w:val="00B358E4"/>
    <w:rsid w:val="00B35EDC"/>
    <w:rsid w:val="00B36102"/>
    <w:rsid w:val="00B363F3"/>
    <w:rsid w:val="00B36895"/>
    <w:rsid w:val="00B36D43"/>
    <w:rsid w:val="00B37BBA"/>
    <w:rsid w:val="00B37D22"/>
    <w:rsid w:val="00B37F80"/>
    <w:rsid w:val="00B37FA9"/>
    <w:rsid w:val="00B404D2"/>
    <w:rsid w:val="00B412A5"/>
    <w:rsid w:val="00B414AC"/>
    <w:rsid w:val="00B41D20"/>
    <w:rsid w:val="00B41D78"/>
    <w:rsid w:val="00B41F4F"/>
    <w:rsid w:val="00B42A09"/>
    <w:rsid w:val="00B43145"/>
    <w:rsid w:val="00B436C6"/>
    <w:rsid w:val="00B45640"/>
    <w:rsid w:val="00B45BC2"/>
    <w:rsid w:val="00B45EE4"/>
    <w:rsid w:val="00B462A4"/>
    <w:rsid w:val="00B46327"/>
    <w:rsid w:val="00B46F32"/>
    <w:rsid w:val="00B47279"/>
    <w:rsid w:val="00B47285"/>
    <w:rsid w:val="00B47D05"/>
    <w:rsid w:val="00B50672"/>
    <w:rsid w:val="00B506CB"/>
    <w:rsid w:val="00B50B3E"/>
    <w:rsid w:val="00B516F1"/>
    <w:rsid w:val="00B51C1F"/>
    <w:rsid w:val="00B51D7F"/>
    <w:rsid w:val="00B52019"/>
    <w:rsid w:val="00B5246D"/>
    <w:rsid w:val="00B52481"/>
    <w:rsid w:val="00B52504"/>
    <w:rsid w:val="00B53890"/>
    <w:rsid w:val="00B54456"/>
    <w:rsid w:val="00B54B6D"/>
    <w:rsid w:val="00B54EE8"/>
    <w:rsid w:val="00B5535B"/>
    <w:rsid w:val="00B55370"/>
    <w:rsid w:val="00B55C23"/>
    <w:rsid w:val="00B56B8E"/>
    <w:rsid w:val="00B57013"/>
    <w:rsid w:val="00B573B2"/>
    <w:rsid w:val="00B57A9A"/>
    <w:rsid w:val="00B57D69"/>
    <w:rsid w:val="00B6069A"/>
    <w:rsid w:val="00B608D7"/>
    <w:rsid w:val="00B61AED"/>
    <w:rsid w:val="00B62814"/>
    <w:rsid w:val="00B629E4"/>
    <w:rsid w:val="00B635BE"/>
    <w:rsid w:val="00B642E1"/>
    <w:rsid w:val="00B64D55"/>
    <w:rsid w:val="00B64E17"/>
    <w:rsid w:val="00B65385"/>
    <w:rsid w:val="00B65A22"/>
    <w:rsid w:val="00B65CD1"/>
    <w:rsid w:val="00B65DE7"/>
    <w:rsid w:val="00B67706"/>
    <w:rsid w:val="00B7047B"/>
    <w:rsid w:val="00B70AB2"/>
    <w:rsid w:val="00B7120F"/>
    <w:rsid w:val="00B71BFF"/>
    <w:rsid w:val="00B71F0C"/>
    <w:rsid w:val="00B720ED"/>
    <w:rsid w:val="00B72121"/>
    <w:rsid w:val="00B72455"/>
    <w:rsid w:val="00B72946"/>
    <w:rsid w:val="00B72C4C"/>
    <w:rsid w:val="00B731F5"/>
    <w:rsid w:val="00B73947"/>
    <w:rsid w:val="00B740B0"/>
    <w:rsid w:val="00B74232"/>
    <w:rsid w:val="00B74DDF"/>
    <w:rsid w:val="00B752DA"/>
    <w:rsid w:val="00B75789"/>
    <w:rsid w:val="00B759D2"/>
    <w:rsid w:val="00B75DDF"/>
    <w:rsid w:val="00B762FA"/>
    <w:rsid w:val="00B7631C"/>
    <w:rsid w:val="00B76574"/>
    <w:rsid w:val="00B76794"/>
    <w:rsid w:val="00B76A95"/>
    <w:rsid w:val="00B76B33"/>
    <w:rsid w:val="00B76D3D"/>
    <w:rsid w:val="00B77016"/>
    <w:rsid w:val="00B80C5F"/>
    <w:rsid w:val="00B80E33"/>
    <w:rsid w:val="00B81E9F"/>
    <w:rsid w:val="00B827D6"/>
    <w:rsid w:val="00B829C5"/>
    <w:rsid w:val="00B82FAA"/>
    <w:rsid w:val="00B8439B"/>
    <w:rsid w:val="00B84A12"/>
    <w:rsid w:val="00B85FA0"/>
    <w:rsid w:val="00B86420"/>
    <w:rsid w:val="00B86597"/>
    <w:rsid w:val="00B86A59"/>
    <w:rsid w:val="00B8741D"/>
    <w:rsid w:val="00B876F5"/>
    <w:rsid w:val="00B87AAE"/>
    <w:rsid w:val="00B87F96"/>
    <w:rsid w:val="00B916D7"/>
    <w:rsid w:val="00B91C90"/>
    <w:rsid w:val="00B91FA0"/>
    <w:rsid w:val="00B92254"/>
    <w:rsid w:val="00B92360"/>
    <w:rsid w:val="00B92702"/>
    <w:rsid w:val="00B92BC9"/>
    <w:rsid w:val="00B92F0B"/>
    <w:rsid w:val="00B92F96"/>
    <w:rsid w:val="00B940F3"/>
    <w:rsid w:val="00B94197"/>
    <w:rsid w:val="00B949C8"/>
    <w:rsid w:val="00B94ACA"/>
    <w:rsid w:val="00B95009"/>
    <w:rsid w:val="00B95E8E"/>
    <w:rsid w:val="00B95EAD"/>
    <w:rsid w:val="00B965EC"/>
    <w:rsid w:val="00B96C43"/>
    <w:rsid w:val="00B96D17"/>
    <w:rsid w:val="00B97675"/>
    <w:rsid w:val="00B97816"/>
    <w:rsid w:val="00B97A9C"/>
    <w:rsid w:val="00BA0578"/>
    <w:rsid w:val="00BA0E62"/>
    <w:rsid w:val="00BA121F"/>
    <w:rsid w:val="00BA1478"/>
    <w:rsid w:val="00BA1EA0"/>
    <w:rsid w:val="00BA2894"/>
    <w:rsid w:val="00BA483F"/>
    <w:rsid w:val="00BA491C"/>
    <w:rsid w:val="00BA4D2D"/>
    <w:rsid w:val="00BA53DD"/>
    <w:rsid w:val="00BA5733"/>
    <w:rsid w:val="00BA5DF1"/>
    <w:rsid w:val="00BA69C0"/>
    <w:rsid w:val="00BA776D"/>
    <w:rsid w:val="00BA77AE"/>
    <w:rsid w:val="00BA7A95"/>
    <w:rsid w:val="00BB0958"/>
    <w:rsid w:val="00BB12A6"/>
    <w:rsid w:val="00BB1C87"/>
    <w:rsid w:val="00BB20E9"/>
    <w:rsid w:val="00BB2DA9"/>
    <w:rsid w:val="00BB2F0A"/>
    <w:rsid w:val="00BB307A"/>
    <w:rsid w:val="00BB3D15"/>
    <w:rsid w:val="00BB4278"/>
    <w:rsid w:val="00BB4753"/>
    <w:rsid w:val="00BB60AA"/>
    <w:rsid w:val="00BB619B"/>
    <w:rsid w:val="00BB6A7E"/>
    <w:rsid w:val="00BB6AD9"/>
    <w:rsid w:val="00BB6B16"/>
    <w:rsid w:val="00BB7CEF"/>
    <w:rsid w:val="00BB7FAA"/>
    <w:rsid w:val="00BB7FBA"/>
    <w:rsid w:val="00BC01EB"/>
    <w:rsid w:val="00BC039F"/>
    <w:rsid w:val="00BC1738"/>
    <w:rsid w:val="00BC1812"/>
    <w:rsid w:val="00BC1D46"/>
    <w:rsid w:val="00BC2154"/>
    <w:rsid w:val="00BC2BCA"/>
    <w:rsid w:val="00BC2BE5"/>
    <w:rsid w:val="00BC2D62"/>
    <w:rsid w:val="00BC2E37"/>
    <w:rsid w:val="00BC2F84"/>
    <w:rsid w:val="00BC3568"/>
    <w:rsid w:val="00BC415E"/>
    <w:rsid w:val="00BC4C59"/>
    <w:rsid w:val="00BC502F"/>
    <w:rsid w:val="00BC5C11"/>
    <w:rsid w:val="00BC5C40"/>
    <w:rsid w:val="00BC5D71"/>
    <w:rsid w:val="00BC72B5"/>
    <w:rsid w:val="00BC7623"/>
    <w:rsid w:val="00BC7CD3"/>
    <w:rsid w:val="00BD0270"/>
    <w:rsid w:val="00BD0B32"/>
    <w:rsid w:val="00BD0B73"/>
    <w:rsid w:val="00BD25D1"/>
    <w:rsid w:val="00BD26DD"/>
    <w:rsid w:val="00BD32AB"/>
    <w:rsid w:val="00BD3BE6"/>
    <w:rsid w:val="00BD40C2"/>
    <w:rsid w:val="00BD4123"/>
    <w:rsid w:val="00BD4530"/>
    <w:rsid w:val="00BD472A"/>
    <w:rsid w:val="00BD496D"/>
    <w:rsid w:val="00BD588F"/>
    <w:rsid w:val="00BD59B4"/>
    <w:rsid w:val="00BD5A77"/>
    <w:rsid w:val="00BD743D"/>
    <w:rsid w:val="00BD75A4"/>
    <w:rsid w:val="00BD7873"/>
    <w:rsid w:val="00BD7890"/>
    <w:rsid w:val="00BD7B86"/>
    <w:rsid w:val="00BD7CD9"/>
    <w:rsid w:val="00BE0BD7"/>
    <w:rsid w:val="00BE1F7B"/>
    <w:rsid w:val="00BE2073"/>
    <w:rsid w:val="00BE30BD"/>
    <w:rsid w:val="00BE47B9"/>
    <w:rsid w:val="00BE5191"/>
    <w:rsid w:val="00BE55FF"/>
    <w:rsid w:val="00BE5CA2"/>
    <w:rsid w:val="00BE5D2C"/>
    <w:rsid w:val="00BE5FDB"/>
    <w:rsid w:val="00BE632A"/>
    <w:rsid w:val="00BE71D4"/>
    <w:rsid w:val="00BE7371"/>
    <w:rsid w:val="00BE78E3"/>
    <w:rsid w:val="00BE7DA9"/>
    <w:rsid w:val="00BF0B8A"/>
    <w:rsid w:val="00BF1779"/>
    <w:rsid w:val="00BF1EF9"/>
    <w:rsid w:val="00BF2467"/>
    <w:rsid w:val="00BF282D"/>
    <w:rsid w:val="00BF303C"/>
    <w:rsid w:val="00BF345C"/>
    <w:rsid w:val="00BF366D"/>
    <w:rsid w:val="00BF395A"/>
    <w:rsid w:val="00BF3D6A"/>
    <w:rsid w:val="00BF45EE"/>
    <w:rsid w:val="00BF4816"/>
    <w:rsid w:val="00BF4AB0"/>
    <w:rsid w:val="00BF6C89"/>
    <w:rsid w:val="00BF702B"/>
    <w:rsid w:val="00BF758D"/>
    <w:rsid w:val="00C0117E"/>
    <w:rsid w:val="00C018AB"/>
    <w:rsid w:val="00C01951"/>
    <w:rsid w:val="00C02806"/>
    <w:rsid w:val="00C02A6E"/>
    <w:rsid w:val="00C02EA0"/>
    <w:rsid w:val="00C03831"/>
    <w:rsid w:val="00C043F0"/>
    <w:rsid w:val="00C04744"/>
    <w:rsid w:val="00C04803"/>
    <w:rsid w:val="00C04C73"/>
    <w:rsid w:val="00C0556C"/>
    <w:rsid w:val="00C05928"/>
    <w:rsid w:val="00C05EBC"/>
    <w:rsid w:val="00C0675B"/>
    <w:rsid w:val="00C06A91"/>
    <w:rsid w:val="00C0746A"/>
    <w:rsid w:val="00C10418"/>
    <w:rsid w:val="00C10B6D"/>
    <w:rsid w:val="00C10BC7"/>
    <w:rsid w:val="00C1201C"/>
    <w:rsid w:val="00C123DD"/>
    <w:rsid w:val="00C126AA"/>
    <w:rsid w:val="00C127F1"/>
    <w:rsid w:val="00C12FC5"/>
    <w:rsid w:val="00C1417B"/>
    <w:rsid w:val="00C1484A"/>
    <w:rsid w:val="00C156A5"/>
    <w:rsid w:val="00C15C24"/>
    <w:rsid w:val="00C15E1B"/>
    <w:rsid w:val="00C15FDD"/>
    <w:rsid w:val="00C165F1"/>
    <w:rsid w:val="00C16618"/>
    <w:rsid w:val="00C16D4A"/>
    <w:rsid w:val="00C16DDC"/>
    <w:rsid w:val="00C16E3B"/>
    <w:rsid w:val="00C17FE0"/>
    <w:rsid w:val="00C20E03"/>
    <w:rsid w:val="00C2154F"/>
    <w:rsid w:val="00C215F5"/>
    <w:rsid w:val="00C21D06"/>
    <w:rsid w:val="00C22083"/>
    <w:rsid w:val="00C223EC"/>
    <w:rsid w:val="00C2276E"/>
    <w:rsid w:val="00C22D14"/>
    <w:rsid w:val="00C231B1"/>
    <w:rsid w:val="00C233FD"/>
    <w:rsid w:val="00C23934"/>
    <w:rsid w:val="00C23A6E"/>
    <w:rsid w:val="00C2438D"/>
    <w:rsid w:val="00C246F4"/>
    <w:rsid w:val="00C24B29"/>
    <w:rsid w:val="00C24B2E"/>
    <w:rsid w:val="00C24EC3"/>
    <w:rsid w:val="00C252C2"/>
    <w:rsid w:val="00C2616F"/>
    <w:rsid w:val="00C27B6D"/>
    <w:rsid w:val="00C30463"/>
    <w:rsid w:val="00C30A45"/>
    <w:rsid w:val="00C30AAB"/>
    <w:rsid w:val="00C30C5E"/>
    <w:rsid w:val="00C3166E"/>
    <w:rsid w:val="00C31DC9"/>
    <w:rsid w:val="00C32509"/>
    <w:rsid w:val="00C33197"/>
    <w:rsid w:val="00C33579"/>
    <w:rsid w:val="00C3364D"/>
    <w:rsid w:val="00C33BE1"/>
    <w:rsid w:val="00C33EE0"/>
    <w:rsid w:val="00C34022"/>
    <w:rsid w:val="00C340E6"/>
    <w:rsid w:val="00C3426C"/>
    <w:rsid w:val="00C342CE"/>
    <w:rsid w:val="00C34389"/>
    <w:rsid w:val="00C34A1E"/>
    <w:rsid w:val="00C34A72"/>
    <w:rsid w:val="00C34B6D"/>
    <w:rsid w:val="00C35116"/>
    <w:rsid w:val="00C35779"/>
    <w:rsid w:val="00C35C32"/>
    <w:rsid w:val="00C35FDC"/>
    <w:rsid w:val="00C3692B"/>
    <w:rsid w:val="00C372F5"/>
    <w:rsid w:val="00C37426"/>
    <w:rsid w:val="00C37EE9"/>
    <w:rsid w:val="00C37F75"/>
    <w:rsid w:val="00C404CC"/>
    <w:rsid w:val="00C40B03"/>
    <w:rsid w:val="00C40FA1"/>
    <w:rsid w:val="00C41A2E"/>
    <w:rsid w:val="00C426FC"/>
    <w:rsid w:val="00C429C9"/>
    <w:rsid w:val="00C42A68"/>
    <w:rsid w:val="00C43109"/>
    <w:rsid w:val="00C436C3"/>
    <w:rsid w:val="00C438D1"/>
    <w:rsid w:val="00C43FA8"/>
    <w:rsid w:val="00C440A9"/>
    <w:rsid w:val="00C44F4C"/>
    <w:rsid w:val="00C45267"/>
    <w:rsid w:val="00C4597D"/>
    <w:rsid w:val="00C45AB1"/>
    <w:rsid w:val="00C46327"/>
    <w:rsid w:val="00C46596"/>
    <w:rsid w:val="00C466E6"/>
    <w:rsid w:val="00C46C39"/>
    <w:rsid w:val="00C46EF0"/>
    <w:rsid w:val="00C47165"/>
    <w:rsid w:val="00C476A4"/>
    <w:rsid w:val="00C5134A"/>
    <w:rsid w:val="00C5159A"/>
    <w:rsid w:val="00C51862"/>
    <w:rsid w:val="00C5262F"/>
    <w:rsid w:val="00C526D5"/>
    <w:rsid w:val="00C52C22"/>
    <w:rsid w:val="00C531A1"/>
    <w:rsid w:val="00C53269"/>
    <w:rsid w:val="00C532C4"/>
    <w:rsid w:val="00C53C14"/>
    <w:rsid w:val="00C541C9"/>
    <w:rsid w:val="00C54702"/>
    <w:rsid w:val="00C54F3E"/>
    <w:rsid w:val="00C5552C"/>
    <w:rsid w:val="00C55AEB"/>
    <w:rsid w:val="00C55F8E"/>
    <w:rsid w:val="00C5723D"/>
    <w:rsid w:val="00C5726D"/>
    <w:rsid w:val="00C57937"/>
    <w:rsid w:val="00C60282"/>
    <w:rsid w:val="00C60613"/>
    <w:rsid w:val="00C60741"/>
    <w:rsid w:val="00C60B51"/>
    <w:rsid w:val="00C6208E"/>
    <w:rsid w:val="00C62331"/>
    <w:rsid w:val="00C625B2"/>
    <w:rsid w:val="00C62DDA"/>
    <w:rsid w:val="00C62F90"/>
    <w:rsid w:val="00C62FAA"/>
    <w:rsid w:val="00C636DB"/>
    <w:rsid w:val="00C6383B"/>
    <w:rsid w:val="00C63973"/>
    <w:rsid w:val="00C63C86"/>
    <w:rsid w:val="00C644C8"/>
    <w:rsid w:val="00C645A9"/>
    <w:rsid w:val="00C64ACA"/>
    <w:rsid w:val="00C65350"/>
    <w:rsid w:val="00C654B8"/>
    <w:rsid w:val="00C66016"/>
    <w:rsid w:val="00C662C1"/>
    <w:rsid w:val="00C66361"/>
    <w:rsid w:val="00C667BF"/>
    <w:rsid w:val="00C66A26"/>
    <w:rsid w:val="00C6709C"/>
    <w:rsid w:val="00C678C6"/>
    <w:rsid w:val="00C67910"/>
    <w:rsid w:val="00C67BA3"/>
    <w:rsid w:val="00C67BB1"/>
    <w:rsid w:val="00C700B0"/>
    <w:rsid w:val="00C705C5"/>
    <w:rsid w:val="00C70619"/>
    <w:rsid w:val="00C70AF0"/>
    <w:rsid w:val="00C7108A"/>
    <w:rsid w:val="00C72635"/>
    <w:rsid w:val="00C7337C"/>
    <w:rsid w:val="00C736DC"/>
    <w:rsid w:val="00C73A26"/>
    <w:rsid w:val="00C73AF9"/>
    <w:rsid w:val="00C73B61"/>
    <w:rsid w:val="00C73D41"/>
    <w:rsid w:val="00C73FE8"/>
    <w:rsid w:val="00C74267"/>
    <w:rsid w:val="00C7484C"/>
    <w:rsid w:val="00C74CE7"/>
    <w:rsid w:val="00C7521E"/>
    <w:rsid w:val="00C75224"/>
    <w:rsid w:val="00C75DA1"/>
    <w:rsid w:val="00C761C9"/>
    <w:rsid w:val="00C764FA"/>
    <w:rsid w:val="00C764FB"/>
    <w:rsid w:val="00C7720E"/>
    <w:rsid w:val="00C80A90"/>
    <w:rsid w:val="00C80EA7"/>
    <w:rsid w:val="00C80FD0"/>
    <w:rsid w:val="00C81C2C"/>
    <w:rsid w:val="00C82698"/>
    <w:rsid w:val="00C82978"/>
    <w:rsid w:val="00C838B3"/>
    <w:rsid w:val="00C84198"/>
    <w:rsid w:val="00C842F1"/>
    <w:rsid w:val="00C84415"/>
    <w:rsid w:val="00C8443A"/>
    <w:rsid w:val="00C844D4"/>
    <w:rsid w:val="00C84B04"/>
    <w:rsid w:val="00C84CF7"/>
    <w:rsid w:val="00C85175"/>
    <w:rsid w:val="00C85205"/>
    <w:rsid w:val="00C85727"/>
    <w:rsid w:val="00C85DDC"/>
    <w:rsid w:val="00C85DF6"/>
    <w:rsid w:val="00C8688D"/>
    <w:rsid w:val="00C871B7"/>
    <w:rsid w:val="00C87DFC"/>
    <w:rsid w:val="00C87EA0"/>
    <w:rsid w:val="00C87F74"/>
    <w:rsid w:val="00C87F9A"/>
    <w:rsid w:val="00C90FB3"/>
    <w:rsid w:val="00C91240"/>
    <w:rsid w:val="00C915F2"/>
    <w:rsid w:val="00C91716"/>
    <w:rsid w:val="00C91B10"/>
    <w:rsid w:val="00C91EAF"/>
    <w:rsid w:val="00C920F9"/>
    <w:rsid w:val="00C9284F"/>
    <w:rsid w:val="00C93766"/>
    <w:rsid w:val="00C94534"/>
    <w:rsid w:val="00C94808"/>
    <w:rsid w:val="00C949CF"/>
    <w:rsid w:val="00C9564E"/>
    <w:rsid w:val="00C9587D"/>
    <w:rsid w:val="00C95A24"/>
    <w:rsid w:val="00C9614C"/>
    <w:rsid w:val="00C962F0"/>
    <w:rsid w:val="00C96395"/>
    <w:rsid w:val="00C9727F"/>
    <w:rsid w:val="00CA0870"/>
    <w:rsid w:val="00CA158F"/>
    <w:rsid w:val="00CA23D4"/>
    <w:rsid w:val="00CA24B3"/>
    <w:rsid w:val="00CA28CB"/>
    <w:rsid w:val="00CA2AD0"/>
    <w:rsid w:val="00CA302A"/>
    <w:rsid w:val="00CA34A9"/>
    <w:rsid w:val="00CA3548"/>
    <w:rsid w:val="00CA3AA8"/>
    <w:rsid w:val="00CA3BE1"/>
    <w:rsid w:val="00CA4224"/>
    <w:rsid w:val="00CA4919"/>
    <w:rsid w:val="00CA4AB4"/>
    <w:rsid w:val="00CA5263"/>
    <w:rsid w:val="00CA57DD"/>
    <w:rsid w:val="00CA5A0B"/>
    <w:rsid w:val="00CA5EAD"/>
    <w:rsid w:val="00CA6DA2"/>
    <w:rsid w:val="00CA77F8"/>
    <w:rsid w:val="00CA7992"/>
    <w:rsid w:val="00CA7A11"/>
    <w:rsid w:val="00CA7D0A"/>
    <w:rsid w:val="00CB0174"/>
    <w:rsid w:val="00CB030F"/>
    <w:rsid w:val="00CB0868"/>
    <w:rsid w:val="00CB0A15"/>
    <w:rsid w:val="00CB1143"/>
    <w:rsid w:val="00CB11AE"/>
    <w:rsid w:val="00CB187F"/>
    <w:rsid w:val="00CB27CF"/>
    <w:rsid w:val="00CB2A84"/>
    <w:rsid w:val="00CB2D03"/>
    <w:rsid w:val="00CB2FE4"/>
    <w:rsid w:val="00CB3706"/>
    <w:rsid w:val="00CB392B"/>
    <w:rsid w:val="00CB5D1F"/>
    <w:rsid w:val="00CB5D9D"/>
    <w:rsid w:val="00CB5E7C"/>
    <w:rsid w:val="00CB6286"/>
    <w:rsid w:val="00CB6947"/>
    <w:rsid w:val="00CB6B43"/>
    <w:rsid w:val="00CB6D70"/>
    <w:rsid w:val="00CB6F6B"/>
    <w:rsid w:val="00CB74FE"/>
    <w:rsid w:val="00CB785F"/>
    <w:rsid w:val="00CC0020"/>
    <w:rsid w:val="00CC0033"/>
    <w:rsid w:val="00CC010D"/>
    <w:rsid w:val="00CC0237"/>
    <w:rsid w:val="00CC0339"/>
    <w:rsid w:val="00CC0DD7"/>
    <w:rsid w:val="00CC110E"/>
    <w:rsid w:val="00CC14D7"/>
    <w:rsid w:val="00CC16CF"/>
    <w:rsid w:val="00CC234C"/>
    <w:rsid w:val="00CC272C"/>
    <w:rsid w:val="00CC2952"/>
    <w:rsid w:val="00CC3B9D"/>
    <w:rsid w:val="00CC43B0"/>
    <w:rsid w:val="00CC4BB6"/>
    <w:rsid w:val="00CC5609"/>
    <w:rsid w:val="00CC577F"/>
    <w:rsid w:val="00CC5988"/>
    <w:rsid w:val="00CC66D8"/>
    <w:rsid w:val="00CC6A0D"/>
    <w:rsid w:val="00CC78FF"/>
    <w:rsid w:val="00CD05E9"/>
    <w:rsid w:val="00CD08F9"/>
    <w:rsid w:val="00CD0C9E"/>
    <w:rsid w:val="00CD21BF"/>
    <w:rsid w:val="00CD2226"/>
    <w:rsid w:val="00CD3237"/>
    <w:rsid w:val="00CD3308"/>
    <w:rsid w:val="00CD33B6"/>
    <w:rsid w:val="00CD3609"/>
    <w:rsid w:val="00CD3721"/>
    <w:rsid w:val="00CD4384"/>
    <w:rsid w:val="00CD4535"/>
    <w:rsid w:val="00CD4BA2"/>
    <w:rsid w:val="00CD51F1"/>
    <w:rsid w:val="00CD5553"/>
    <w:rsid w:val="00CD5732"/>
    <w:rsid w:val="00CD5DA2"/>
    <w:rsid w:val="00CD63F4"/>
    <w:rsid w:val="00CD6417"/>
    <w:rsid w:val="00CD6448"/>
    <w:rsid w:val="00CD6BAE"/>
    <w:rsid w:val="00CD6D51"/>
    <w:rsid w:val="00CD735C"/>
    <w:rsid w:val="00CD7DCC"/>
    <w:rsid w:val="00CD7DFC"/>
    <w:rsid w:val="00CD7E42"/>
    <w:rsid w:val="00CE007B"/>
    <w:rsid w:val="00CE1940"/>
    <w:rsid w:val="00CE1ABC"/>
    <w:rsid w:val="00CE1CA7"/>
    <w:rsid w:val="00CE2E79"/>
    <w:rsid w:val="00CE30B7"/>
    <w:rsid w:val="00CE317E"/>
    <w:rsid w:val="00CE327F"/>
    <w:rsid w:val="00CE32F1"/>
    <w:rsid w:val="00CE349C"/>
    <w:rsid w:val="00CE3B29"/>
    <w:rsid w:val="00CE545D"/>
    <w:rsid w:val="00CE5AB9"/>
    <w:rsid w:val="00CE5D5E"/>
    <w:rsid w:val="00CE5DF1"/>
    <w:rsid w:val="00CE5F71"/>
    <w:rsid w:val="00CE5FBC"/>
    <w:rsid w:val="00CE69D4"/>
    <w:rsid w:val="00CE6C62"/>
    <w:rsid w:val="00CE7277"/>
    <w:rsid w:val="00CE7927"/>
    <w:rsid w:val="00CF02BC"/>
    <w:rsid w:val="00CF1073"/>
    <w:rsid w:val="00CF1445"/>
    <w:rsid w:val="00CF168A"/>
    <w:rsid w:val="00CF255C"/>
    <w:rsid w:val="00CF267B"/>
    <w:rsid w:val="00CF3DC9"/>
    <w:rsid w:val="00CF41CB"/>
    <w:rsid w:val="00CF45A6"/>
    <w:rsid w:val="00CF4E65"/>
    <w:rsid w:val="00CF4EB5"/>
    <w:rsid w:val="00CF5B3F"/>
    <w:rsid w:val="00CF5D12"/>
    <w:rsid w:val="00CF5F81"/>
    <w:rsid w:val="00CF6206"/>
    <w:rsid w:val="00CF7139"/>
    <w:rsid w:val="00CF7A44"/>
    <w:rsid w:val="00CF7AA3"/>
    <w:rsid w:val="00CF7BA2"/>
    <w:rsid w:val="00CF7DD0"/>
    <w:rsid w:val="00CF7DFB"/>
    <w:rsid w:val="00D005C2"/>
    <w:rsid w:val="00D0096B"/>
    <w:rsid w:val="00D011C6"/>
    <w:rsid w:val="00D01DB4"/>
    <w:rsid w:val="00D030AA"/>
    <w:rsid w:val="00D0320B"/>
    <w:rsid w:val="00D036B0"/>
    <w:rsid w:val="00D0370D"/>
    <w:rsid w:val="00D03B34"/>
    <w:rsid w:val="00D04197"/>
    <w:rsid w:val="00D0463D"/>
    <w:rsid w:val="00D04C9B"/>
    <w:rsid w:val="00D04D4D"/>
    <w:rsid w:val="00D050B8"/>
    <w:rsid w:val="00D05430"/>
    <w:rsid w:val="00D05F6A"/>
    <w:rsid w:val="00D05F96"/>
    <w:rsid w:val="00D06091"/>
    <w:rsid w:val="00D06BEB"/>
    <w:rsid w:val="00D077FD"/>
    <w:rsid w:val="00D07B02"/>
    <w:rsid w:val="00D103E1"/>
    <w:rsid w:val="00D10BA7"/>
    <w:rsid w:val="00D10F0A"/>
    <w:rsid w:val="00D10FD2"/>
    <w:rsid w:val="00D1142A"/>
    <w:rsid w:val="00D11B41"/>
    <w:rsid w:val="00D11C2E"/>
    <w:rsid w:val="00D12A6B"/>
    <w:rsid w:val="00D132B6"/>
    <w:rsid w:val="00D137A5"/>
    <w:rsid w:val="00D143A4"/>
    <w:rsid w:val="00D14450"/>
    <w:rsid w:val="00D14E0C"/>
    <w:rsid w:val="00D154C6"/>
    <w:rsid w:val="00D1572C"/>
    <w:rsid w:val="00D15929"/>
    <w:rsid w:val="00D15C28"/>
    <w:rsid w:val="00D16782"/>
    <w:rsid w:val="00D16FF7"/>
    <w:rsid w:val="00D17597"/>
    <w:rsid w:val="00D17722"/>
    <w:rsid w:val="00D20525"/>
    <w:rsid w:val="00D20759"/>
    <w:rsid w:val="00D21187"/>
    <w:rsid w:val="00D220A8"/>
    <w:rsid w:val="00D22A3A"/>
    <w:rsid w:val="00D22EED"/>
    <w:rsid w:val="00D23A40"/>
    <w:rsid w:val="00D2481B"/>
    <w:rsid w:val="00D24CBB"/>
    <w:rsid w:val="00D250B2"/>
    <w:rsid w:val="00D2601D"/>
    <w:rsid w:val="00D264F7"/>
    <w:rsid w:val="00D272A0"/>
    <w:rsid w:val="00D27425"/>
    <w:rsid w:val="00D27A37"/>
    <w:rsid w:val="00D27B48"/>
    <w:rsid w:val="00D30266"/>
    <w:rsid w:val="00D305AD"/>
    <w:rsid w:val="00D30A72"/>
    <w:rsid w:val="00D30F85"/>
    <w:rsid w:val="00D3119F"/>
    <w:rsid w:val="00D312AC"/>
    <w:rsid w:val="00D31355"/>
    <w:rsid w:val="00D319A4"/>
    <w:rsid w:val="00D322C2"/>
    <w:rsid w:val="00D3245C"/>
    <w:rsid w:val="00D324F6"/>
    <w:rsid w:val="00D326A6"/>
    <w:rsid w:val="00D32998"/>
    <w:rsid w:val="00D3376E"/>
    <w:rsid w:val="00D344A2"/>
    <w:rsid w:val="00D35E5D"/>
    <w:rsid w:val="00D36B65"/>
    <w:rsid w:val="00D36C78"/>
    <w:rsid w:val="00D36E9D"/>
    <w:rsid w:val="00D374BB"/>
    <w:rsid w:val="00D37CD6"/>
    <w:rsid w:val="00D37EA0"/>
    <w:rsid w:val="00D40083"/>
    <w:rsid w:val="00D4048E"/>
    <w:rsid w:val="00D4079E"/>
    <w:rsid w:val="00D40BD7"/>
    <w:rsid w:val="00D40EE3"/>
    <w:rsid w:val="00D42245"/>
    <w:rsid w:val="00D424C7"/>
    <w:rsid w:val="00D432D0"/>
    <w:rsid w:val="00D4354C"/>
    <w:rsid w:val="00D4359C"/>
    <w:rsid w:val="00D43BBC"/>
    <w:rsid w:val="00D43CAB"/>
    <w:rsid w:val="00D43CF6"/>
    <w:rsid w:val="00D43DB8"/>
    <w:rsid w:val="00D442A6"/>
    <w:rsid w:val="00D447D6"/>
    <w:rsid w:val="00D44A66"/>
    <w:rsid w:val="00D44D71"/>
    <w:rsid w:val="00D451B1"/>
    <w:rsid w:val="00D452D6"/>
    <w:rsid w:val="00D456A6"/>
    <w:rsid w:val="00D46112"/>
    <w:rsid w:val="00D463EB"/>
    <w:rsid w:val="00D467A7"/>
    <w:rsid w:val="00D46C52"/>
    <w:rsid w:val="00D46EBC"/>
    <w:rsid w:val="00D47AC0"/>
    <w:rsid w:val="00D50C09"/>
    <w:rsid w:val="00D51225"/>
    <w:rsid w:val="00D514D8"/>
    <w:rsid w:val="00D51591"/>
    <w:rsid w:val="00D5195E"/>
    <w:rsid w:val="00D5221D"/>
    <w:rsid w:val="00D52268"/>
    <w:rsid w:val="00D52D3E"/>
    <w:rsid w:val="00D52D88"/>
    <w:rsid w:val="00D53185"/>
    <w:rsid w:val="00D5319F"/>
    <w:rsid w:val="00D5375D"/>
    <w:rsid w:val="00D53B08"/>
    <w:rsid w:val="00D5408A"/>
    <w:rsid w:val="00D542C2"/>
    <w:rsid w:val="00D54488"/>
    <w:rsid w:val="00D5552E"/>
    <w:rsid w:val="00D5559E"/>
    <w:rsid w:val="00D57586"/>
    <w:rsid w:val="00D57942"/>
    <w:rsid w:val="00D57F37"/>
    <w:rsid w:val="00D60674"/>
    <w:rsid w:val="00D62B14"/>
    <w:rsid w:val="00D62EEE"/>
    <w:rsid w:val="00D6330F"/>
    <w:rsid w:val="00D637FE"/>
    <w:rsid w:val="00D6403D"/>
    <w:rsid w:val="00D64064"/>
    <w:rsid w:val="00D64452"/>
    <w:rsid w:val="00D6464D"/>
    <w:rsid w:val="00D648AC"/>
    <w:rsid w:val="00D64DDC"/>
    <w:rsid w:val="00D65601"/>
    <w:rsid w:val="00D66C89"/>
    <w:rsid w:val="00D703B1"/>
    <w:rsid w:val="00D70632"/>
    <w:rsid w:val="00D70F44"/>
    <w:rsid w:val="00D70FAD"/>
    <w:rsid w:val="00D710F3"/>
    <w:rsid w:val="00D7196E"/>
    <w:rsid w:val="00D71F6D"/>
    <w:rsid w:val="00D72042"/>
    <w:rsid w:val="00D7257F"/>
    <w:rsid w:val="00D72C99"/>
    <w:rsid w:val="00D72D3D"/>
    <w:rsid w:val="00D73045"/>
    <w:rsid w:val="00D7306C"/>
    <w:rsid w:val="00D73240"/>
    <w:rsid w:val="00D74448"/>
    <w:rsid w:val="00D747B6"/>
    <w:rsid w:val="00D7486B"/>
    <w:rsid w:val="00D7490D"/>
    <w:rsid w:val="00D757F2"/>
    <w:rsid w:val="00D758F1"/>
    <w:rsid w:val="00D75994"/>
    <w:rsid w:val="00D75E28"/>
    <w:rsid w:val="00D7656F"/>
    <w:rsid w:val="00D77D29"/>
    <w:rsid w:val="00D77D87"/>
    <w:rsid w:val="00D80239"/>
    <w:rsid w:val="00D80379"/>
    <w:rsid w:val="00D80874"/>
    <w:rsid w:val="00D80950"/>
    <w:rsid w:val="00D80C01"/>
    <w:rsid w:val="00D80D21"/>
    <w:rsid w:val="00D80E2F"/>
    <w:rsid w:val="00D81AEC"/>
    <w:rsid w:val="00D81B2A"/>
    <w:rsid w:val="00D82327"/>
    <w:rsid w:val="00D82847"/>
    <w:rsid w:val="00D8290E"/>
    <w:rsid w:val="00D82CD0"/>
    <w:rsid w:val="00D82EF9"/>
    <w:rsid w:val="00D83198"/>
    <w:rsid w:val="00D833F9"/>
    <w:rsid w:val="00D83BCD"/>
    <w:rsid w:val="00D83E86"/>
    <w:rsid w:val="00D840FC"/>
    <w:rsid w:val="00D848AE"/>
    <w:rsid w:val="00D84A15"/>
    <w:rsid w:val="00D85777"/>
    <w:rsid w:val="00D87916"/>
    <w:rsid w:val="00D90F7C"/>
    <w:rsid w:val="00D9181A"/>
    <w:rsid w:val="00D91F4E"/>
    <w:rsid w:val="00D92436"/>
    <w:rsid w:val="00D92C9F"/>
    <w:rsid w:val="00D931FA"/>
    <w:rsid w:val="00D93386"/>
    <w:rsid w:val="00D9358E"/>
    <w:rsid w:val="00D94241"/>
    <w:rsid w:val="00D951BE"/>
    <w:rsid w:val="00D95DB8"/>
    <w:rsid w:val="00D9601F"/>
    <w:rsid w:val="00D968D6"/>
    <w:rsid w:val="00D97176"/>
    <w:rsid w:val="00D978E0"/>
    <w:rsid w:val="00D97AA5"/>
    <w:rsid w:val="00DA0C4B"/>
    <w:rsid w:val="00DA109A"/>
    <w:rsid w:val="00DA131F"/>
    <w:rsid w:val="00DA1919"/>
    <w:rsid w:val="00DA1A8A"/>
    <w:rsid w:val="00DA2017"/>
    <w:rsid w:val="00DA348A"/>
    <w:rsid w:val="00DA4209"/>
    <w:rsid w:val="00DA4A34"/>
    <w:rsid w:val="00DA4CB2"/>
    <w:rsid w:val="00DA5171"/>
    <w:rsid w:val="00DA5F48"/>
    <w:rsid w:val="00DA6454"/>
    <w:rsid w:val="00DA75C9"/>
    <w:rsid w:val="00DA7F17"/>
    <w:rsid w:val="00DB03A1"/>
    <w:rsid w:val="00DB0A66"/>
    <w:rsid w:val="00DB221D"/>
    <w:rsid w:val="00DB249B"/>
    <w:rsid w:val="00DB34BD"/>
    <w:rsid w:val="00DB399F"/>
    <w:rsid w:val="00DB3B7B"/>
    <w:rsid w:val="00DB3DFD"/>
    <w:rsid w:val="00DB4DC9"/>
    <w:rsid w:val="00DB6DE3"/>
    <w:rsid w:val="00DB7064"/>
    <w:rsid w:val="00DB74C6"/>
    <w:rsid w:val="00DB75D8"/>
    <w:rsid w:val="00DC0CCE"/>
    <w:rsid w:val="00DC0FF0"/>
    <w:rsid w:val="00DC175A"/>
    <w:rsid w:val="00DC1954"/>
    <w:rsid w:val="00DC1F02"/>
    <w:rsid w:val="00DC206A"/>
    <w:rsid w:val="00DC3000"/>
    <w:rsid w:val="00DC471D"/>
    <w:rsid w:val="00DC48B0"/>
    <w:rsid w:val="00DC4A89"/>
    <w:rsid w:val="00DC4DAA"/>
    <w:rsid w:val="00DC50F0"/>
    <w:rsid w:val="00DC5377"/>
    <w:rsid w:val="00DC540E"/>
    <w:rsid w:val="00DC543B"/>
    <w:rsid w:val="00DC5BF7"/>
    <w:rsid w:val="00DC68C4"/>
    <w:rsid w:val="00DD014A"/>
    <w:rsid w:val="00DD051F"/>
    <w:rsid w:val="00DD07D4"/>
    <w:rsid w:val="00DD100C"/>
    <w:rsid w:val="00DD10BE"/>
    <w:rsid w:val="00DD11E8"/>
    <w:rsid w:val="00DD2BBA"/>
    <w:rsid w:val="00DD3096"/>
    <w:rsid w:val="00DD3896"/>
    <w:rsid w:val="00DD39A4"/>
    <w:rsid w:val="00DD3B37"/>
    <w:rsid w:val="00DD3C7A"/>
    <w:rsid w:val="00DD47D1"/>
    <w:rsid w:val="00DD56F7"/>
    <w:rsid w:val="00DD6398"/>
    <w:rsid w:val="00DD7409"/>
    <w:rsid w:val="00DD7B69"/>
    <w:rsid w:val="00DE04BA"/>
    <w:rsid w:val="00DE0875"/>
    <w:rsid w:val="00DE1D2A"/>
    <w:rsid w:val="00DE1EEF"/>
    <w:rsid w:val="00DE3833"/>
    <w:rsid w:val="00DE3A5F"/>
    <w:rsid w:val="00DE42ED"/>
    <w:rsid w:val="00DE4379"/>
    <w:rsid w:val="00DE43DA"/>
    <w:rsid w:val="00DE4710"/>
    <w:rsid w:val="00DE4A5A"/>
    <w:rsid w:val="00DE4C35"/>
    <w:rsid w:val="00DE52AD"/>
    <w:rsid w:val="00DE5514"/>
    <w:rsid w:val="00DE5544"/>
    <w:rsid w:val="00DE55C4"/>
    <w:rsid w:val="00DE59D0"/>
    <w:rsid w:val="00DE6593"/>
    <w:rsid w:val="00DE68C4"/>
    <w:rsid w:val="00DE6E77"/>
    <w:rsid w:val="00DE71BB"/>
    <w:rsid w:val="00DE7312"/>
    <w:rsid w:val="00DE7626"/>
    <w:rsid w:val="00DE7AD8"/>
    <w:rsid w:val="00DE7DCC"/>
    <w:rsid w:val="00DF0510"/>
    <w:rsid w:val="00DF05AB"/>
    <w:rsid w:val="00DF0D7F"/>
    <w:rsid w:val="00DF177B"/>
    <w:rsid w:val="00DF1C42"/>
    <w:rsid w:val="00DF23BE"/>
    <w:rsid w:val="00DF3034"/>
    <w:rsid w:val="00DF30BB"/>
    <w:rsid w:val="00DF3D38"/>
    <w:rsid w:val="00DF40DA"/>
    <w:rsid w:val="00DF467E"/>
    <w:rsid w:val="00DF4CA1"/>
    <w:rsid w:val="00DF590C"/>
    <w:rsid w:val="00DF5BE5"/>
    <w:rsid w:val="00DF6405"/>
    <w:rsid w:val="00DF763D"/>
    <w:rsid w:val="00DF7795"/>
    <w:rsid w:val="00E004DA"/>
    <w:rsid w:val="00E00D43"/>
    <w:rsid w:val="00E012E1"/>
    <w:rsid w:val="00E01B43"/>
    <w:rsid w:val="00E02687"/>
    <w:rsid w:val="00E02DFF"/>
    <w:rsid w:val="00E0321E"/>
    <w:rsid w:val="00E03CF7"/>
    <w:rsid w:val="00E04789"/>
    <w:rsid w:val="00E04C99"/>
    <w:rsid w:val="00E055DF"/>
    <w:rsid w:val="00E0592D"/>
    <w:rsid w:val="00E07079"/>
    <w:rsid w:val="00E071A5"/>
    <w:rsid w:val="00E073DE"/>
    <w:rsid w:val="00E074B5"/>
    <w:rsid w:val="00E0762D"/>
    <w:rsid w:val="00E076DB"/>
    <w:rsid w:val="00E07EE7"/>
    <w:rsid w:val="00E10034"/>
    <w:rsid w:val="00E10051"/>
    <w:rsid w:val="00E10376"/>
    <w:rsid w:val="00E10C0C"/>
    <w:rsid w:val="00E10E83"/>
    <w:rsid w:val="00E113EC"/>
    <w:rsid w:val="00E11407"/>
    <w:rsid w:val="00E116BB"/>
    <w:rsid w:val="00E12755"/>
    <w:rsid w:val="00E12E11"/>
    <w:rsid w:val="00E12E67"/>
    <w:rsid w:val="00E13501"/>
    <w:rsid w:val="00E136B1"/>
    <w:rsid w:val="00E137B6"/>
    <w:rsid w:val="00E144DE"/>
    <w:rsid w:val="00E149EA"/>
    <w:rsid w:val="00E14D4B"/>
    <w:rsid w:val="00E14F61"/>
    <w:rsid w:val="00E15E2B"/>
    <w:rsid w:val="00E16179"/>
    <w:rsid w:val="00E16A08"/>
    <w:rsid w:val="00E16A8B"/>
    <w:rsid w:val="00E16AA8"/>
    <w:rsid w:val="00E1724B"/>
    <w:rsid w:val="00E179D2"/>
    <w:rsid w:val="00E17FFA"/>
    <w:rsid w:val="00E202F8"/>
    <w:rsid w:val="00E20957"/>
    <w:rsid w:val="00E20978"/>
    <w:rsid w:val="00E21904"/>
    <w:rsid w:val="00E21ADB"/>
    <w:rsid w:val="00E21BA9"/>
    <w:rsid w:val="00E21FBF"/>
    <w:rsid w:val="00E22240"/>
    <w:rsid w:val="00E22AFE"/>
    <w:rsid w:val="00E22D4B"/>
    <w:rsid w:val="00E22D98"/>
    <w:rsid w:val="00E2312E"/>
    <w:rsid w:val="00E2332C"/>
    <w:rsid w:val="00E23456"/>
    <w:rsid w:val="00E2384C"/>
    <w:rsid w:val="00E23A8E"/>
    <w:rsid w:val="00E24119"/>
    <w:rsid w:val="00E248A4"/>
    <w:rsid w:val="00E249D7"/>
    <w:rsid w:val="00E25F4A"/>
    <w:rsid w:val="00E2676B"/>
    <w:rsid w:val="00E301AD"/>
    <w:rsid w:val="00E3038C"/>
    <w:rsid w:val="00E303B7"/>
    <w:rsid w:val="00E309A5"/>
    <w:rsid w:val="00E31115"/>
    <w:rsid w:val="00E31A49"/>
    <w:rsid w:val="00E31A4C"/>
    <w:rsid w:val="00E32200"/>
    <w:rsid w:val="00E3259E"/>
    <w:rsid w:val="00E3283F"/>
    <w:rsid w:val="00E32BC3"/>
    <w:rsid w:val="00E32C35"/>
    <w:rsid w:val="00E33011"/>
    <w:rsid w:val="00E3333F"/>
    <w:rsid w:val="00E3337E"/>
    <w:rsid w:val="00E34288"/>
    <w:rsid w:val="00E34407"/>
    <w:rsid w:val="00E34E06"/>
    <w:rsid w:val="00E357B7"/>
    <w:rsid w:val="00E3671C"/>
    <w:rsid w:val="00E36D49"/>
    <w:rsid w:val="00E374E9"/>
    <w:rsid w:val="00E37B36"/>
    <w:rsid w:val="00E401A6"/>
    <w:rsid w:val="00E40A1E"/>
    <w:rsid w:val="00E40A29"/>
    <w:rsid w:val="00E40D55"/>
    <w:rsid w:val="00E40DCA"/>
    <w:rsid w:val="00E40E08"/>
    <w:rsid w:val="00E411AC"/>
    <w:rsid w:val="00E42D87"/>
    <w:rsid w:val="00E4310E"/>
    <w:rsid w:val="00E43129"/>
    <w:rsid w:val="00E43224"/>
    <w:rsid w:val="00E43D79"/>
    <w:rsid w:val="00E43F79"/>
    <w:rsid w:val="00E4434F"/>
    <w:rsid w:val="00E4445E"/>
    <w:rsid w:val="00E44AE9"/>
    <w:rsid w:val="00E44BEC"/>
    <w:rsid w:val="00E44CEF"/>
    <w:rsid w:val="00E453E1"/>
    <w:rsid w:val="00E455A7"/>
    <w:rsid w:val="00E455E9"/>
    <w:rsid w:val="00E45D12"/>
    <w:rsid w:val="00E4731C"/>
    <w:rsid w:val="00E479A0"/>
    <w:rsid w:val="00E47A05"/>
    <w:rsid w:val="00E500CB"/>
    <w:rsid w:val="00E503BA"/>
    <w:rsid w:val="00E50663"/>
    <w:rsid w:val="00E507E6"/>
    <w:rsid w:val="00E51541"/>
    <w:rsid w:val="00E5182E"/>
    <w:rsid w:val="00E52108"/>
    <w:rsid w:val="00E533E4"/>
    <w:rsid w:val="00E537C9"/>
    <w:rsid w:val="00E53861"/>
    <w:rsid w:val="00E540E9"/>
    <w:rsid w:val="00E541EE"/>
    <w:rsid w:val="00E54529"/>
    <w:rsid w:val="00E556BD"/>
    <w:rsid w:val="00E55A1D"/>
    <w:rsid w:val="00E560B0"/>
    <w:rsid w:val="00E561DD"/>
    <w:rsid w:val="00E5624A"/>
    <w:rsid w:val="00E56C37"/>
    <w:rsid w:val="00E60842"/>
    <w:rsid w:val="00E60BFB"/>
    <w:rsid w:val="00E611E6"/>
    <w:rsid w:val="00E61A5B"/>
    <w:rsid w:val="00E61BBC"/>
    <w:rsid w:val="00E61FA4"/>
    <w:rsid w:val="00E622A4"/>
    <w:rsid w:val="00E624B6"/>
    <w:rsid w:val="00E629DA"/>
    <w:rsid w:val="00E62C18"/>
    <w:rsid w:val="00E632C6"/>
    <w:rsid w:val="00E63848"/>
    <w:rsid w:val="00E63BAC"/>
    <w:rsid w:val="00E63C0A"/>
    <w:rsid w:val="00E64516"/>
    <w:rsid w:val="00E64574"/>
    <w:rsid w:val="00E649A4"/>
    <w:rsid w:val="00E64DC9"/>
    <w:rsid w:val="00E651DB"/>
    <w:rsid w:val="00E658AF"/>
    <w:rsid w:val="00E65E03"/>
    <w:rsid w:val="00E65EE1"/>
    <w:rsid w:val="00E65FBE"/>
    <w:rsid w:val="00E663FB"/>
    <w:rsid w:val="00E66F99"/>
    <w:rsid w:val="00E67201"/>
    <w:rsid w:val="00E678D9"/>
    <w:rsid w:val="00E704E2"/>
    <w:rsid w:val="00E7074A"/>
    <w:rsid w:val="00E714D1"/>
    <w:rsid w:val="00E715E2"/>
    <w:rsid w:val="00E726A7"/>
    <w:rsid w:val="00E72A2F"/>
    <w:rsid w:val="00E73095"/>
    <w:rsid w:val="00E730D0"/>
    <w:rsid w:val="00E73455"/>
    <w:rsid w:val="00E73649"/>
    <w:rsid w:val="00E736FA"/>
    <w:rsid w:val="00E74212"/>
    <w:rsid w:val="00E747C6"/>
    <w:rsid w:val="00E74968"/>
    <w:rsid w:val="00E749A5"/>
    <w:rsid w:val="00E75577"/>
    <w:rsid w:val="00E755BD"/>
    <w:rsid w:val="00E7582C"/>
    <w:rsid w:val="00E7709F"/>
    <w:rsid w:val="00E77FC0"/>
    <w:rsid w:val="00E8088F"/>
    <w:rsid w:val="00E80B1D"/>
    <w:rsid w:val="00E80C78"/>
    <w:rsid w:val="00E810D9"/>
    <w:rsid w:val="00E819B3"/>
    <w:rsid w:val="00E81A40"/>
    <w:rsid w:val="00E8242C"/>
    <w:rsid w:val="00E82430"/>
    <w:rsid w:val="00E82B2F"/>
    <w:rsid w:val="00E82E91"/>
    <w:rsid w:val="00E83813"/>
    <w:rsid w:val="00E84E5B"/>
    <w:rsid w:val="00E86688"/>
    <w:rsid w:val="00E86A6A"/>
    <w:rsid w:val="00E86D41"/>
    <w:rsid w:val="00E86FE2"/>
    <w:rsid w:val="00E87363"/>
    <w:rsid w:val="00E8791F"/>
    <w:rsid w:val="00E87A2D"/>
    <w:rsid w:val="00E90CB6"/>
    <w:rsid w:val="00E90FA2"/>
    <w:rsid w:val="00E9184F"/>
    <w:rsid w:val="00E92060"/>
    <w:rsid w:val="00E926B0"/>
    <w:rsid w:val="00E937B5"/>
    <w:rsid w:val="00E93873"/>
    <w:rsid w:val="00E9459A"/>
    <w:rsid w:val="00E9473B"/>
    <w:rsid w:val="00E951F7"/>
    <w:rsid w:val="00E95639"/>
    <w:rsid w:val="00E95641"/>
    <w:rsid w:val="00E959C3"/>
    <w:rsid w:val="00E95D1D"/>
    <w:rsid w:val="00E95DCC"/>
    <w:rsid w:val="00E9616B"/>
    <w:rsid w:val="00E9683D"/>
    <w:rsid w:val="00E96D84"/>
    <w:rsid w:val="00E96F53"/>
    <w:rsid w:val="00E971B5"/>
    <w:rsid w:val="00E9750B"/>
    <w:rsid w:val="00E977AF"/>
    <w:rsid w:val="00E97A07"/>
    <w:rsid w:val="00EA02E5"/>
    <w:rsid w:val="00EA0579"/>
    <w:rsid w:val="00EA0599"/>
    <w:rsid w:val="00EA08B7"/>
    <w:rsid w:val="00EA0D9A"/>
    <w:rsid w:val="00EA169C"/>
    <w:rsid w:val="00EA1854"/>
    <w:rsid w:val="00EA20F8"/>
    <w:rsid w:val="00EA2280"/>
    <w:rsid w:val="00EA2B7B"/>
    <w:rsid w:val="00EA2D21"/>
    <w:rsid w:val="00EA4EE5"/>
    <w:rsid w:val="00EA5406"/>
    <w:rsid w:val="00EA5439"/>
    <w:rsid w:val="00EA548B"/>
    <w:rsid w:val="00EA5CC8"/>
    <w:rsid w:val="00EA6273"/>
    <w:rsid w:val="00EA6B3C"/>
    <w:rsid w:val="00EA6B99"/>
    <w:rsid w:val="00EA6D59"/>
    <w:rsid w:val="00EA6FB4"/>
    <w:rsid w:val="00EA7090"/>
    <w:rsid w:val="00EA78B4"/>
    <w:rsid w:val="00EA7F33"/>
    <w:rsid w:val="00EB0583"/>
    <w:rsid w:val="00EB0624"/>
    <w:rsid w:val="00EB1076"/>
    <w:rsid w:val="00EB11B2"/>
    <w:rsid w:val="00EB19F7"/>
    <w:rsid w:val="00EB1A01"/>
    <w:rsid w:val="00EB1C1C"/>
    <w:rsid w:val="00EB2006"/>
    <w:rsid w:val="00EB2373"/>
    <w:rsid w:val="00EB26D6"/>
    <w:rsid w:val="00EB28E7"/>
    <w:rsid w:val="00EB3918"/>
    <w:rsid w:val="00EB3A8A"/>
    <w:rsid w:val="00EB468F"/>
    <w:rsid w:val="00EB4AE7"/>
    <w:rsid w:val="00EB4BC5"/>
    <w:rsid w:val="00EB4F75"/>
    <w:rsid w:val="00EB5382"/>
    <w:rsid w:val="00EB5442"/>
    <w:rsid w:val="00EB72F6"/>
    <w:rsid w:val="00EB7406"/>
    <w:rsid w:val="00EB7488"/>
    <w:rsid w:val="00EB782C"/>
    <w:rsid w:val="00EB7953"/>
    <w:rsid w:val="00EC035C"/>
    <w:rsid w:val="00EC04B2"/>
    <w:rsid w:val="00EC086E"/>
    <w:rsid w:val="00EC1AE5"/>
    <w:rsid w:val="00EC1FFA"/>
    <w:rsid w:val="00EC2FEA"/>
    <w:rsid w:val="00EC30F5"/>
    <w:rsid w:val="00EC334B"/>
    <w:rsid w:val="00EC352E"/>
    <w:rsid w:val="00EC3B2F"/>
    <w:rsid w:val="00EC3C13"/>
    <w:rsid w:val="00EC4046"/>
    <w:rsid w:val="00EC461C"/>
    <w:rsid w:val="00EC4880"/>
    <w:rsid w:val="00EC4FEB"/>
    <w:rsid w:val="00EC57CE"/>
    <w:rsid w:val="00EC5A61"/>
    <w:rsid w:val="00EC685D"/>
    <w:rsid w:val="00EC6DEF"/>
    <w:rsid w:val="00EC70B1"/>
    <w:rsid w:val="00EC73B8"/>
    <w:rsid w:val="00EC7ADB"/>
    <w:rsid w:val="00EC7CC3"/>
    <w:rsid w:val="00ED02B4"/>
    <w:rsid w:val="00ED14F1"/>
    <w:rsid w:val="00ED156D"/>
    <w:rsid w:val="00ED194E"/>
    <w:rsid w:val="00ED1F68"/>
    <w:rsid w:val="00ED212E"/>
    <w:rsid w:val="00ED2264"/>
    <w:rsid w:val="00ED23EF"/>
    <w:rsid w:val="00ED2937"/>
    <w:rsid w:val="00ED2C85"/>
    <w:rsid w:val="00ED2DE2"/>
    <w:rsid w:val="00ED3D2F"/>
    <w:rsid w:val="00ED3F31"/>
    <w:rsid w:val="00ED4095"/>
    <w:rsid w:val="00ED40B6"/>
    <w:rsid w:val="00ED44B0"/>
    <w:rsid w:val="00ED4B3B"/>
    <w:rsid w:val="00ED55D6"/>
    <w:rsid w:val="00ED5EF6"/>
    <w:rsid w:val="00ED611B"/>
    <w:rsid w:val="00ED69B7"/>
    <w:rsid w:val="00ED6EBF"/>
    <w:rsid w:val="00ED71A3"/>
    <w:rsid w:val="00ED76FF"/>
    <w:rsid w:val="00ED7D2F"/>
    <w:rsid w:val="00EE0C62"/>
    <w:rsid w:val="00EE17B8"/>
    <w:rsid w:val="00EE2D12"/>
    <w:rsid w:val="00EE2F51"/>
    <w:rsid w:val="00EE2FCC"/>
    <w:rsid w:val="00EE42F1"/>
    <w:rsid w:val="00EE45BB"/>
    <w:rsid w:val="00EE463B"/>
    <w:rsid w:val="00EE4DC8"/>
    <w:rsid w:val="00EE5056"/>
    <w:rsid w:val="00EE5E49"/>
    <w:rsid w:val="00EE613F"/>
    <w:rsid w:val="00EE7763"/>
    <w:rsid w:val="00EE77F8"/>
    <w:rsid w:val="00EF2602"/>
    <w:rsid w:val="00EF28E6"/>
    <w:rsid w:val="00EF2A21"/>
    <w:rsid w:val="00EF3145"/>
    <w:rsid w:val="00EF3CAC"/>
    <w:rsid w:val="00EF3FD5"/>
    <w:rsid w:val="00EF4954"/>
    <w:rsid w:val="00EF4BB0"/>
    <w:rsid w:val="00EF5B6C"/>
    <w:rsid w:val="00EF63D8"/>
    <w:rsid w:val="00EF6930"/>
    <w:rsid w:val="00EF6D5B"/>
    <w:rsid w:val="00EF6F1C"/>
    <w:rsid w:val="00EF725A"/>
    <w:rsid w:val="00EF7B0A"/>
    <w:rsid w:val="00F001E3"/>
    <w:rsid w:val="00F00431"/>
    <w:rsid w:val="00F00B36"/>
    <w:rsid w:val="00F00E13"/>
    <w:rsid w:val="00F00E67"/>
    <w:rsid w:val="00F0100C"/>
    <w:rsid w:val="00F01817"/>
    <w:rsid w:val="00F01F46"/>
    <w:rsid w:val="00F021F3"/>
    <w:rsid w:val="00F02971"/>
    <w:rsid w:val="00F02BBF"/>
    <w:rsid w:val="00F02C6F"/>
    <w:rsid w:val="00F03CEE"/>
    <w:rsid w:val="00F03F83"/>
    <w:rsid w:val="00F04049"/>
    <w:rsid w:val="00F04A48"/>
    <w:rsid w:val="00F04AEB"/>
    <w:rsid w:val="00F04D58"/>
    <w:rsid w:val="00F0508F"/>
    <w:rsid w:val="00F0589F"/>
    <w:rsid w:val="00F061C6"/>
    <w:rsid w:val="00F062F5"/>
    <w:rsid w:val="00F066AA"/>
    <w:rsid w:val="00F1029C"/>
    <w:rsid w:val="00F10508"/>
    <w:rsid w:val="00F105AB"/>
    <w:rsid w:val="00F10889"/>
    <w:rsid w:val="00F109FE"/>
    <w:rsid w:val="00F12463"/>
    <w:rsid w:val="00F13350"/>
    <w:rsid w:val="00F13C68"/>
    <w:rsid w:val="00F13F75"/>
    <w:rsid w:val="00F13FF1"/>
    <w:rsid w:val="00F1423E"/>
    <w:rsid w:val="00F143AB"/>
    <w:rsid w:val="00F14BCA"/>
    <w:rsid w:val="00F14DFC"/>
    <w:rsid w:val="00F1537C"/>
    <w:rsid w:val="00F153BF"/>
    <w:rsid w:val="00F15C8F"/>
    <w:rsid w:val="00F1666B"/>
    <w:rsid w:val="00F1679D"/>
    <w:rsid w:val="00F16D17"/>
    <w:rsid w:val="00F17F74"/>
    <w:rsid w:val="00F201B3"/>
    <w:rsid w:val="00F20733"/>
    <w:rsid w:val="00F20914"/>
    <w:rsid w:val="00F20C78"/>
    <w:rsid w:val="00F20F29"/>
    <w:rsid w:val="00F217AD"/>
    <w:rsid w:val="00F21E3A"/>
    <w:rsid w:val="00F2271D"/>
    <w:rsid w:val="00F2295A"/>
    <w:rsid w:val="00F22A31"/>
    <w:rsid w:val="00F22ED3"/>
    <w:rsid w:val="00F2471F"/>
    <w:rsid w:val="00F24C13"/>
    <w:rsid w:val="00F26818"/>
    <w:rsid w:val="00F27921"/>
    <w:rsid w:val="00F27F77"/>
    <w:rsid w:val="00F3019B"/>
    <w:rsid w:val="00F30A7D"/>
    <w:rsid w:val="00F30DBF"/>
    <w:rsid w:val="00F30FBA"/>
    <w:rsid w:val="00F31674"/>
    <w:rsid w:val="00F3173C"/>
    <w:rsid w:val="00F31E87"/>
    <w:rsid w:val="00F322FB"/>
    <w:rsid w:val="00F32D80"/>
    <w:rsid w:val="00F33634"/>
    <w:rsid w:val="00F3373F"/>
    <w:rsid w:val="00F3414B"/>
    <w:rsid w:val="00F342F9"/>
    <w:rsid w:val="00F34437"/>
    <w:rsid w:val="00F348FD"/>
    <w:rsid w:val="00F34A91"/>
    <w:rsid w:val="00F35317"/>
    <w:rsid w:val="00F35346"/>
    <w:rsid w:val="00F35AB6"/>
    <w:rsid w:val="00F364FE"/>
    <w:rsid w:val="00F36C0E"/>
    <w:rsid w:val="00F36E4D"/>
    <w:rsid w:val="00F375AF"/>
    <w:rsid w:val="00F379A4"/>
    <w:rsid w:val="00F4004F"/>
    <w:rsid w:val="00F402C0"/>
    <w:rsid w:val="00F41DC9"/>
    <w:rsid w:val="00F429ED"/>
    <w:rsid w:val="00F42C75"/>
    <w:rsid w:val="00F432A1"/>
    <w:rsid w:val="00F4347C"/>
    <w:rsid w:val="00F435BA"/>
    <w:rsid w:val="00F43E7A"/>
    <w:rsid w:val="00F444E1"/>
    <w:rsid w:val="00F44D6D"/>
    <w:rsid w:val="00F44EB6"/>
    <w:rsid w:val="00F44F77"/>
    <w:rsid w:val="00F450BD"/>
    <w:rsid w:val="00F4517A"/>
    <w:rsid w:val="00F45957"/>
    <w:rsid w:val="00F45E6B"/>
    <w:rsid w:val="00F4643F"/>
    <w:rsid w:val="00F466BA"/>
    <w:rsid w:val="00F467B7"/>
    <w:rsid w:val="00F4681E"/>
    <w:rsid w:val="00F478CC"/>
    <w:rsid w:val="00F47CF0"/>
    <w:rsid w:val="00F5027C"/>
    <w:rsid w:val="00F5037A"/>
    <w:rsid w:val="00F52065"/>
    <w:rsid w:val="00F5206B"/>
    <w:rsid w:val="00F523BE"/>
    <w:rsid w:val="00F5318D"/>
    <w:rsid w:val="00F54447"/>
    <w:rsid w:val="00F55613"/>
    <w:rsid w:val="00F564F3"/>
    <w:rsid w:val="00F56E8F"/>
    <w:rsid w:val="00F56EC5"/>
    <w:rsid w:val="00F573A6"/>
    <w:rsid w:val="00F576C8"/>
    <w:rsid w:val="00F577AB"/>
    <w:rsid w:val="00F57D16"/>
    <w:rsid w:val="00F6079E"/>
    <w:rsid w:val="00F6124D"/>
    <w:rsid w:val="00F616DC"/>
    <w:rsid w:val="00F617CD"/>
    <w:rsid w:val="00F61C83"/>
    <w:rsid w:val="00F6223A"/>
    <w:rsid w:val="00F626A0"/>
    <w:rsid w:val="00F626D0"/>
    <w:rsid w:val="00F63710"/>
    <w:rsid w:val="00F63B77"/>
    <w:rsid w:val="00F63C10"/>
    <w:rsid w:val="00F63F39"/>
    <w:rsid w:val="00F643AB"/>
    <w:rsid w:val="00F65306"/>
    <w:rsid w:val="00F653BC"/>
    <w:rsid w:val="00F65435"/>
    <w:rsid w:val="00F65D1C"/>
    <w:rsid w:val="00F665C7"/>
    <w:rsid w:val="00F666A2"/>
    <w:rsid w:val="00F66DC2"/>
    <w:rsid w:val="00F67065"/>
    <w:rsid w:val="00F67D4F"/>
    <w:rsid w:val="00F707F3"/>
    <w:rsid w:val="00F70B7A"/>
    <w:rsid w:val="00F70C1E"/>
    <w:rsid w:val="00F70E76"/>
    <w:rsid w:val="00F719BD"/>
    <w:rsid w:val="00F71A43"/>
    <w:rsid w:val="00F71A88"/>
    <w:rsid w:val="00F7211C"/>
    <w:rsid w:val="00F72717"/>
    <w:rsid w:val="00F735C8"/>
    <w:rsid w:val="00F737B5"/>
    <w:rsid w:val="00F73D5C"/>
    <w:rsid w:val="00F74030"/>
    <w:rsid w:val="00F74FE9"/>
    <w:rsid w:val="00F75160"/>
    <w:rsid w:val="00F753C6"/>
    <w:rsid w:val="00F756DB"/>
    <w:rsid w:val="00F75B39"/>
    <w:rsid w:val="00F76305"/>
    <w:rsid w:val="00F76877"/>
    <w:rsid w:val="00F76F1E"/>
    <w:rsid w:val="00F775EA"/>
    <w:rsid w:val="00F776ED"/>
    <w:rsid w:val="00F77849"/>
    <w:rsid w:val="00F77F29"/>
    <w:rsid w:val="00F80377"/>
    <w:rsid w:val="00F80544"/>
    <w:rsid w:val="00F805AF"/>
    <w:rsid w:val="00F808D4"/>
    <w:rsid w:val="00F81A31"/>
    <w:rsid w:val="00F8203C"/>
    <w:rsid w:val="00F8223C"/>
    <w:rsid w:val="00F82591"/>
    <w:rsid w:val="00F8399A"/>
    <w:rsid w:val="00F84DFC"/>
    <w:rsid w:val="00F85280"/>
    <w:rsid w:val="00F855A8"/>
    <w:rsid w:val="00F861C1"/>
    <w:rsid w:val="00F86F88"/>
    <w:rsid w:val="00F87334"/>
    <w:rsid w:val="00F87EBB"/>
    <w:rsid w:val="00F90524"/>
    <w:rsid w:val="00F90690"/>
    <w:rsid w:val="00F90C0C"/>
    <w:rsid w:val="00F90F5B"/>
    <w:rsid w:val="00F919F3"/>
    <w:rsid w:val="00F92591"/>
    <w:rsid w:val="00F9262A"/>
    <w:rsid w:val="00F930E8"/>
    <w:rsid w:val="00F9349E"/>
    <w:rsid w:val="00F938E5"/>
    <w:rsid w:val="00F93AF5"/>
    <w:rsid w:val="00F941F0"/>
    <w:rsid w:val="00F9505D"/>
    <w:rsid w:val="00F957EA"/>
    <w:rsid w:val="00F95D68"/>
    <w:rsid w:val="00F95F74"/>
    <w:rsid w:val="00F97C95"/>
    <w:rsid w:val="00F97CD8"/>
    <w:rsid w:val="00FA00C0"/>
    <w:rsid w:val="00FA0435"/>
    <w:rsid w:val="00FA1AF2"/>
    <w:rsid w:val="00FA2488"/>
    <w:rsid w:val="00FA278D"/>
    <w:rsid w:val="00FA40B3"/>
    <w:rsid w:val="00FA49F1"/>
    <w:rsid w:val="00FA4AB6"/>
    <w:rsid w:val="00FA5242"/>
    <w:rsid w:val="00FA5820"/>
    <w:rsid w:val="00FA5CA7"/>
    <w:rsid w:val="00FA6909"/>
    <w:rsid w:val="00FA6C0A"/>
    <w:rsid w:val="00FA72C1"/>
    <w:rsid w:val="00FA7FB9"/>
    <w:rsid w:val="00FB0047"/>
    <w:rsid w:val="00FB04A7"/>
    <w:rsid w:val="00FB06F8"/>
    <w:rsid w:val="00FB0B37"/>
    <w:rsid w:val="00FB0C1D"/>
    <w:rsid w:val="00FB2064"/>
    <w:rsid w:val="00FB2710"/>
    <w:rsid w:val="00FB2774"/>
    <w:rsid w:val="00FB29DD"/>
    <w:rsid w:val="00FB3674"/>
    <w:rsid w:val="00FB4302"/>
    <w:rsid w:val="00FB4B0F"/>
    <w:rsid w:val="00FB4BF0"/>
    <w:rsid w:val="00FB4D0C"/>
    <w:rsid w:val="00FB54D5"/>
    <w:rsid w:val="00FB56FE"/>
    <w:rsid w:val="00FB5B46"/>
    <w:rsid w:val="00FB60A3"/>
    <w:rsid w:val="00FB6B66"/>
    <w:rsid w:val="00FB7FC3"/>
    <w:rsid w:val="00FC039B"/>
    <w:rsid w:val="00FC06B0"/>
    <w:rsid w:val="00FC1BF7"/>
    <w:rsid w:val="00FC1C1A"/>
    <w:rsid w:val="00FC1F06"/>
    <w:rsid w:val="00FC208C"/>
    <w:rsid w:val="00FC2A23"/>
    <w:rsid w:val="00FC36E7"/>
    <w:rsid w:val="00FC3EAD"/>
    <w:rsid w:val="00FC3FE5"/>
    <w:rsid w:val="00FC40EB"/>
    <w:rsid w:val="00FC46FF"/>
    <w:rsid w:val="00FC471B"/>
    <w:rsid w:val="00FC4744"/>
    <w:rsid w:val="00FC4AC6"/>
    <w:rsid w:val="00FC4C21"/>
    <w:rsid w:val="00FC4DDF"/>
    <w:rsid w:val="00FC5947"/>
    <w:rsid w:val="00FC5951"/>
    <w:rsid w:val="00FC595E"/>
    <w:rsid w:val="00FC5B31"/>
    <w:rsid w:val="00FC5E88"/>
    <w:rsid w:val="00FC623F"/>
    <w:rsid w:val="00FC6FE2"/>
    <w:rsid w:val="00FC7084"/>
    <w:rsid w:val="00FC72C7"/>
    <w:rsid w:val="00FC73C0"/>
    <w:rsid w:val="00FC73F6"/>
    <w:rsid w:val="00FC7AB5"/>
    <w:rsid w:val="00FC7AEF"/>
    <w:rsid w:val="00FD024C"/>
    <w:rsid w:val="00FD1225"/>
    <w:rsid w:val="00FD12A1"/>
    <w:rsid w:val="00FD14AA"/>
    <w:rsid w:val="00FD1C51"/>
    <w:rsid w:val="00FD1D20"/>
    <w:rsid w:val="00FD2050"/>
    <w:rsid w:val="00FD289B"/>
    <w:rsid w:val="00FD3021"/>
    <w:rsid w:val="00FD3588"/>
    <w:rsid w:val="00FD36A2"/>
    <w:rsid w:val="00FD3A01"/>
    <w:rsid w:val="00FD3ED9"/>
    <w:rsid w:val="00FD4696"/>
    <w:rsid w:val="00FD4FD0"/>
    <w:rsid w:val="00FD5A60"/>
    <w:rsid w:val="00FD5EB2"/>
    <w:rsid w:val="00FD61B1"/>
    <w:rsid w:val="00FD69D3"/>
    <w:rsid w:val="00FD6A3C"/>
    <w:rsid w:val="00FD6C4E"/>
    <w:rsid w:val="00FD75A0"/>
    <w:rsid w:val="00FD7865"/>
    <w:rsid w:val="00FD7CB2"/>
    <w:rsid w:val="00FD7D61"/>
    <w:rsid w:val="00FE0D39"/>
    <w:rsid w:val="00FE0EB0"/>
    <w:rsid w:val="00FE10A5"/>
    <w:rsid w:val="00FE27D4"/>
    <w:rsid w:val="00FE3F7C"/>
    <w:rsid w:val="00FE3F93"/>
    <w:rsid w:val="00FE40A6"/>
    <w:rsid w:val="00FE41EC"/>
    <w:rsid w:val="00FE437A"/>
    <w:rsid w:val="00FE4D4D"/>
    <w:rsid w:val="00FE5DA4"/>
    <w:rsid w:val="00FE5EC2"/>
    <w:rsid w:val="00FE5FD6"/>
    <w:rsid w:val="00FE604F"/>
    <w:rsid w:val="00FE6448"/>
    <w:rsid w:val="00FE6822"/>
    <w:rsid w:val="00FF04FF"/>
    <w:rsid w:val="00FF1816"/>
    <w:rsid w:val="00FF2640"/>
    <w:rsid w:val="00FF2A20"/>
    <w:rsid w:val="00FF33B0"/>
    <w:rsid w:val="00FF34E2"/>
    <w:rsid w:val="00FF4036"/>
    <w:rsid w:val="00FF4886"/>
    <w:rsid w:val="00FF502F"/>
    <w:rsid w:val="00FF5680"/>
    <w:rsid w:val="00FF61BE"/>
    <w:rsid w:val="00FF63CD"/>
    <w:rsid w:val="00FF671E"/>
    <w:rsid w:val="00FF6A14"/>
    <w:rsid w:val="00FF6B03"/>
    <w:rsid w:val="00FF6BDC"/>
    <w:rsid w:val="00FF6FF2"/>
    <w:rsid w:val="00FF7D43"/>
    <w:rsid w:val="00FF7E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F161"/>
  <w15:chartTrackingRefBased/>
  <w15:docId w15:val="{8F96AA03-8FFE-4395-B173-73BD22A5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5D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F) Head 2"/>
    <w:basedOn w:val="BBody1"/>
    <w:next w:val="Normal"/>
    <w:link w:val="Heading2Char"/>
    <w:uiPriority w:val="9"/>
    <w:unhideWhenUsed/>
    <w:qFormat/>
    <w:rsid w:val="00E40DCA"/>
    <w:pPr>
      <w:keepNext/>
      <w:spacing w:before="360" w:after="240"/>
      <w:outlineLvl w:val="1"/>
    </w:pPr>
    <w:rPr>
      <w:b/>
    </w:rPr>
  </w:style>
  <w:style w:type="paragraph" w:styleId="Heading3">
    <w:name w:val="heading 3"/>
    <w:aliases w:val="F) Head 3"/>
    <w:basedOn w:val="BBody1"/>
    <w:next w:val="Normal"/>
    <w:link w:val="Heading3Char"/>
    <w:uiPriority w:val="9"/>
    <w:unhideWhenUsed/>
    <w:qFormat/>
    <w:rsid w:val="00E40DCA"/>
    <w:pPr>
      <w:numPr>
        <w:ilvl w:val="2"/>
      </w:numPr>
      <w:spacing w:before="360"/>
      <w:ind w:left="0" w:hanging="851"/>
      <w:outlineLvl w:val="2"/>
    </w:pPr>
    <w:rPr>
      <w:b/>
    </w:rPr>
  </w:style>
  <w:style w:type="paragraph" w:styleId="Heading4">
    <w:name w:val="heading 4"/>
    <w:aliases w:val="G) Head 4,Text 4"/>
    <w:basedOn w:val="Heading3"/>
    <w:next w:val="Normal"/>
    <w:link w:val="Heading4Char"/>
    <w:uiPriority w:val="9"/>
    <w:unhideWhenUsed/>
    <w:qFormat/>
    <w:rsid w:val="00E144DE"/>
    <w:pPr>
      <w:numPr>
        <w:ilvl w:val="3"/>
      </w:numPr>
      <w:ind w:left="0" w:hanging="1134"/>
      <w:jc w:val="both"/>
      <w:outlineLvl w:val="3"/>
    </w:pPr>
    <w:rPr>
      <w:b w:val="0"/>
    </w:rPr>
  </w:style>
  <w:style w:type="paragraph" w:styleId="Heading5">
    <w:name w:val="heading 5"/>
    <w:basedOn w:val="Normal"/>
    <w:next w:val="Normal"/>
    <w:link w:val="Heading5Char"/>
    <w:uiPriority w:val="9"/>
    <w:unhideWhenUsed/>
    <w:qFormat/>
    <w:rsid w:val="005167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F) Head 2 Char"/>
    <w:basedOn w:val="DefaultParagraphFont"/>
    <w:link w:val="Heading2"/>
    <w:uiPriority w:val="9"/>
    <w:rsid w:val="00E40DCA"/>
    <w:rPr>
      <w:rFonts w:ascii="Arial" w:eastAsia="Calibri" w:hAnsi="Arial" w:cs="Arial"/>
      <w:b/>
      <w:sz w:val="24"/>
      <w:szCs w:val="24"/>
    </w:rPr>
  </w:style>
  <w:style w:type="character" w:customStyle="1" w:styleId="Heading3Char">
    <w:name w:val="Heading 3 Char"/>
    <w:aliases w:val="F) Head 3 Char"/>
    <w:basedOn w:val="DefaultParagraphFont"/>
    <w:link w:val="Heading3"/>
    <w:uiPriority w:val="9"/>
    <w:rsid w:val="00E40DCA"/>
    <w:rPr>
      <w:rFonts w:ascii="Arial" w:eastAsia="Calibri" w:hAnsi="Arial" w:cs="Arial"/>
      <w:b/>
      <w:sz w:val="24"/>
      <w:szCs w:val="24"/>
    </w:rPr>
  </w:style>
  <w:style w:type="character" w:customStyle="1" w:styleId="Heading4Char">
    <w:name w:val="Heading 4 Char"/>
    <w:aliases w:val="G) Head 4 Char,Text 4 Char"/>
    <w:basedOn w:val="DefaultParagraphFont"/>
    <w:link w:val="Heading4"/>
    <w:uiPriority w:val="9"/>
    <w:rsid w:val="00E144DE"/>
    <w:rPr>
      <w:rFonts w:ascii="Arial" w:eastAsia="Calibri" w:hAnsi="Arial" w:cs="Arial"/>
      <w:sz w:val="24"/>
      <w:szCs w:val="24"/>
    </w:rPr>
  </w:style>
  <w:style w:type="character" w:styleId="IntenseEmphasis">
    <w:name w:val="Intense Emphasis"/>
    <w:uiPriority w:val="21"/>
    <w:rsid w:val="00E40DCA"/>
    <w:rPr>
      <w:i/>
      <w:iCs/>
      <w:color w:val="4F81BD"/>
    </w:rPr>
  </w:style>
  <w:style w:type="paragraph" w:customStyle="1" w:styleId="BBody1">
    <w:name w:val="B) Body 1"/>
    <w:basedOn w:val="Normal"/>
    <w:link w:val="BBody1Char"/>
    <w:qFormat/>
    <w:rsid w:val="00E40DCA"/>
    <w:pPr>
      <w:numPr>
        <w:ilvl w:val="1"/>
        <w:numId w:val="1"/>
      </w:numPr>
      <w:spacing w:after="120" w:line="360" w:lineRule="auto"/>
      <w:ind w:left="0" w:hanging="709"/>
    </w:pPr>
    <w:rPr>
      <w:rFonts w:ascii="Arial" w:eastAsia="Calibri" w:hAnsi="Arial" w:cs="Arial"/>
      <w:sz w:val="24"/>
      <w:szCs w:val="24"/>
    </w:rPr>
  </w:style>
  <w:style w:type="paragraph" w:customStyle="1" w:styleId="EHead1">
    <w:name w:val="E) Head 1"/>
    <w:basedOn w:val="BBody1"/>
    <w:link w:val="EHead1Char"/>
    <w:qFormat/>
    <w:rsid w:val="00E40DCA"/>
    <w:pPr>
      <w:keepNext/>
      <w:numPr>
        <w:ilvl w:val="0"/>
      </w:numPr>
      <w:spacing w:before="360" w:after="240"/>
      <w:ind w:left="0" w:hanging="709"/>
      <w:outlineLvl w:val="0"/>
    </w:pPr>
    <w:rPr>
      <w:b/>
      <w:sz w:val="28"/>
    </w:rPr>
  </w:style>
  <w:style w:type="paragraph" w:customStyle="1" w:styleId="A1stpage">
    <w:name w:val="A) 1st page"/>
    <w:basedOn w:val="BBody1"/>
    <w:link w:val="A1stpageChar"/>
    <w:qFormat/>
    <w:rsid w:val="00E40DCA"/>
    <w:pPr>
      <w:numPr>
        <w:ilvl w:val="0"/>
        <w:numId w:val="0"/>
      </w:numPr>
      <w:spacing w:before="60" w:after="60"/>
      <w:ind w:left="57"/>
    </w:pPr>
  </w:style>
  <w:style w:type="character" w:customStyle="1" w:styleId="BBody1Char">
    <w:name w:val="B) Body 1 Char"/>
    <w:link w:val="BBody1"/>
    <w:rsid w:val="00E40DCA"/>
    <w:rPr>
      <w:rFonts w:ascii="Arial" w:eastAsia="Calibri" w:hAnsi="Arial" w:cs="Arial"/>
      <w:sz w:val="24"/>
      <w:szCs w:val="24"/>
    </w:rPr>
  </w:style>
  <w:style w:type="character" w:customStyle="1" w:styleId="A1stpageChar">
    <w:name w:val="A) 1st page Char"/>
    <w:link w:val="A1stpage"/>
    <w:rsid w:val="00E40DCA"/>
    <w:rPr>
      <w:rFonts w:ascii="Arial" w:eastAsia="Calibri" w:hAnsi="Arial" w:cs="Arial"/>
      <w:sz w:val="24"/>
      <w:szCs w:val="24"/>
    </w:rPr>
  </w:style>
  <w:style w:type="character" w:customStyle="1" w:styleId="EHead1Char">
    <w:name w:val="E) Head 1 Char"/>
    <w:link w:val="EHead1"/>
    <w:rsid w:val="00E40DCA"/>
    <w:rPr>
      <w:rFonts w:ascii="Arial" w:eastAsia="Calibri" w:hAnsi="Arial" w:cs="Arial"/>
      <w:b/>
      <w:sz w:val="28"/>
      <w:szCs w:val="24"/>
    </w:rPr>
  </w:style>
  <w:style w:type="paragraph" w:customStyle="1" w:styleId="CBody2">
    <w:name w:val="C) Body 2"/>
    <w:basedOn w:val="Heading3"/>
    <w:link w:val="CBody2Char"/>
    <w:qFormat/>
    <w:rsid w:val="00E40DCA"/>
    <w:pPr>
      <w:spacing w:before="0"/>
      <w:outlineLvl w:val="9"/>
    </w:pPr>
    <w:rPr>
      <w:b w:val="0"/>
    </w:rPr>
  </w:style>
  <w:style w:type="character" w:customStyle="1" w:styleId="CBody2Char">
    <w:name w:val="C) Body 2 Char"/>
    <w:link w:val="CBody2"/>
    <w:qFormat/>
    <w:rsid w:val="00E40DCA"/>
    <w:rPr>
      <w:rFonts w:ascii="Arial" w:eastAsia="Calibri" w:hAnsi="Arial" w:cs="Arial"/>
      <w:sz w:val="24"/>
      <w:szCs w:val="24"/>
    </w:rPr>
  </w:style>
  <w:style w:type="paragraph" w:customStyle="1" w:styleId="01RegularRegularText">
    <w:name w:val="01) Regular [Regular Text]"/>
    <w:basedOn w:val="Normal"/>
    <w:link w:val="01RegularRegularTextChar"/>
    <w:rsid w:val="00E40DCA"/>
    <w:pPr>
      <w:tabs>
        <w:tab w:val="left" w:pos="510"/>
      </w:tabs>
      <w:spacing w:after="0" w:line="460" w:lineRule="exact"/>
    </w:pPr>
    <w:rPr>
      <w:rFonts w:ascii="Calibri" w:eastAsia="Calibri" w:hAnsi="Calibri" w:cs="Times New Roman"/>
      <w:sz w:val="24"/>
      <w:szCs w:val="24"/>
    </w:rPr>
  </w:style>
  <w:style w:type="character" w:customStyle="1" w:styleId="01RegularRegularTextChar">
    <w:name w:val="01) Regular [Regular Text] Char"/>
    <w:link w:val="01RegularRegularText"/>
    <w:rsid w:val="00E40DCA"/>
    <w:rPr>
      <w:rFonts w:ascii="Calibri" w:eastAsia="Calibri" w:hAnsi="Calibri" w:cs="Times New Roman"/>
      <w:sz w:val="24"/>
      <w:szCs w:val="24"/>
    </w:rPr>
  </w:style>
  <w:style w:type="paragraph" w:styleId="TOC1">
    <w:name w:val="toc 1"/>
    <w:basedOn w:val="Normal"/>
    <w:next w:val="Normal"/>
    <w:autoRedefine/>
    <w:uiPriority w:val="39"/>
    <w:unhideWhenUsed/>
    <w:rsid w:val="00E40DCA"/>
    <w:pPr>
      <w:tabs>
        <w:tab w:val="left" w:pos="440"/>
        <w:tab w:val="right" w:leader="dot" w:pos="9016"/>
      </w:tabs>
      <w:spacing w:after="100" w:line="460" w:lineRule="exact"/>
    </w:pPr>
    <w:rPr>
      <w:rFonts w:ascii="Arial" w:eastAsia="Calibri" w:hAnsi="Arial" w:cs="Arial"/>
      <w:sz w:val="24"/>
      <w:szCs w:val="24"/>
    </w:rPr>
  </w:style>
  <w:style w:type="paragraph" w:styleId="TOC2">
    <w:name w:val="toc 2"/>
    <w:basedOn w:val="Normal"/>
    <w:next w:val="Normal"/>
    <w:autoRedefine/>
    <w:uiPriority w:val="39"/>
    <w:unhideWhenUsed/>
    <w:rsid w:val="00E40DCA"/>
    <w:pPr>
      <w:spacing w:after="100" w:line="460" w:lineRule="exact"/>
      <w:ind w:left="240"/>
    </w:pPr>
    <w:rPr>
      <w:rFonts w:ascii="Arial" w:eastAsia="Calibri" w:hAnsi="Arial" w:cs="Arial"/>
      <w:sz w:val="24"/>
      <w:szCs w:val="24"/>
    </w:rPr>
  </w:style>
  <w:style w:type="character" w:styleId="Hyperlink">
    <w:name w:val="Hyperlink"/>
    <w:uiPriority w:val="99"/>
    <w:unhideWhenUsed/>
    <w:rsid w:val="00E40DCA"/>
    <w:rPr>
      <w:color w:val="0000FF"/>
      <w:u w:val="single"/>
    </w:rPr>
  </w:style>
  <w:style w:type="paragraph" w:customStyle="1" w:styleId="DBodyNonum">
    <w:name w:val="D) Body No num"/>
    <w:basedOn w:val="BBody1"/>
    <w:link w:val="DBodyNonumChar"/>
    <w:qFormat/>
    <w:rsid w:val="00C541C9"/>
    <w:pPr>
      <w:numPr>
        <w:ilvl w:val="0"/>
        <w:numId w:val="0"/>
      </w:numPr>
      <w:jc w:val="both"/>
    </w:pPr>
  </w:style>
  <w:style w:type="character" w:customStyle="1" w:styleId="DBodyNonumChar">
    <w:name w:val="D) Body No num Char"/>
    <w:basedOn w:val="BBody1Char"/>
    <w:link w:val="DBodyNonum"/>
    <w:rsid w:val="00C541C9"/>
    <w:rPr>
      <w:rFonts w:ascii="Arial" w:eastAsia="Calibri" w:hAnsi="Arial" w:cs="Arial"/>
      <w:sz w:val="24"/>
      <w:szCs w:val="24"/>
    </w:rPr>
  </w:style>
  <w:style w:type="paragraph" w:customStyle="1" w:styleId="D1Bullet">
    <w:name w:val="D1) Bullet"/>
    <w:basedOn w:val="DBodyNonum"/>
    <w:qFormat/>
    <w:rsid w:val="00E40DCA"/>
    <w:pPr>
      <w:numPr>
        <w:numId w:val="2"/>
      </w:numPr>
      <w:tabs>
        <w:tab w:val="num" w:pos="360"/>
      </w:tabs>
      <w:ind w:left="0" w:firstLine="0"/>
    </w:pPr>
  </w:style>
  <w:style w:type="character" w:styleId="PlaceholderText">
    <w:name w:val="Placeholder Text"/>
    <w:basedOn w:val="DefaultParagraphFont"/>
    <w:uiPriority w:val="99"/>
    <w:semiHidden/>
    <w:rsid w:val="00E40DCA"/>
    <w:rPr>
      <w:color w:val="808080"/>
    </w:rPr>
  </w:style>
  <w:style w:type="paragraph" w:styleId="Header">
    <w:name w:val="header"/>
    <w:basedOn w:val="Normal"/>
    <w:link w:val="HeaderChar"/>
    <w:uiPriority w:val="99"/>
    <w:unhideWhenUsed/>
    <w:rsid w:val="00E22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D4B"/>
  </w:style>
  <w:style w:type="paragraph" w:styleId="Footer">
    <w:name w:val="footer"/>
    <w:basedOn w:val="Normal"/>
    <w:link w:val="FooterChar"/>
    <w:uiPriority w:val="99"/>
    <w:unhideWhenUsed/>
    <w:rsid w:val="00E22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D4B"/>
  </w:style>
  <w:style w:type="character" w:styleId="PageNumber">
    <w:name w:val="page number"/>
    <w:basedOn w:val="DefaultParagraphFont"/>
    <w:rsid w:val="00996987"/>
  </w:style>
  <w:style w:type="table" w:styleId="TableGrid">
    <w:name w:val="Table Grid"/>
    <w:basedOn w:val="TableNormal"/>
    <w:uiPriority w:val="59"/>
    <w:rsid w:val="0099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ReportTitle">
    <w:name w:val="08) Report Title"/>
    <w:basedOn w:val="Normal"/>
    <w:qFormat/>
    <w:rsid w:val="00996987"/>
    <w:pPr>
      <w:spacing w:after="0" w:line="440" w:lineRule="exact"/>
    </w:pPr>
    <w:rPr>
      <w:rFonts w:ascii="Arial" w:hAnsi="Arial"/>
      <w:b/>
      <w:sz w:val="28"/>
      <w:szCs w:val="36"/>
    </w:rPr>
  </w:style>
  <w:style w:type="table" w:customStyle="1" w:styleId="TableGrid1">
    <w:name w:val="Table Grid1"/>
    <w:basedOn w:val="TableNormal"/>
    <w:next w:val="TableGrid"/>
    <w:uiPriority w:val="59"/>
    <w:rsid w:val="005943D3"/>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3D3"/>
    <w:pPr>
      <w:spacing w:after="200" w:line="276" w:lineRule="auto"/>
      <w:ind w:left="720"/>
      <w:contextualSpacing/>
    </w:pPr>
    <w:rPr>
      <w:rFonts w:ascii="Arial" w:hAnsi="Arial" w:cs="Arial"/>
      <w:sz w:val="24"/>
      <w:szCs w:val="24"/>
    </w:rPr>
  </w:style>
  <w:style w:type="paragraph" w:styleId="NoSpacing">
    <w:name w:val="No Spacing"/>
    <w:uiPriority w:val="1"/>
    <w:qFormat/>
    <w:rsid w:val="00460C9C"/>
    <w:pPr>
      <w:spacing w:after="0" w:line="240" w:lineRule="auto"/>
    </w:pPr>
  </w:style>
  <w:style w:type="character" w:customStyle="1" w:styleId="Heading5Char">
    <w:name w:val="Heading 5 Char"/>
    <w:basedOn w:val="DefaultParagraphFont"/>
    <w:link w:val="Heading5"/>
    <w:uiPriority w:val="9"/>
    <w:rsid w:val="005167E6"/>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421A96"/>
    <w:rPr>
      <w:sz w:val="16"/>
      <w:szCs w:val="16"/>
    </w:rPr>
  </w:style>
  <w:style w:type="paragraph" w:styleId="CommentText">
    <w:name w:val="annotation text"/>
    <w:basedOn w:val="Normal"/>
    <w:link w:val="CommentTextChar"/>
    <w:uiPriority w:val="99"/>
    <w:unhideWhenUsed/>
    <w:rsid w:val="00421A96"/>
    <w:pPr>
      <w:spacing w:line="240" w:lineRule="auto"/>
    </w:pPr>
    <w:rPr>
      <w:sz w:val="20"/>
      <w:szCs w:val="20"/>
    </w:rPr>
  </w:style>
  <w:style w:type="character" w:customStyle="1" w:styleId="CommentTextChar">
    <w:name w:val="Comment Text Char"/>
    <w:basedOn w:val="DefaultParagraphFont"/>
    <w:link w:val="CommentText"/>
    <w:uiPriority w:val="99"/>
    <w:rsid w:val="00421A96"/>
    <w:rPr>
      <w:sz w:val="20"/>
      <w:szCs w:val="20"/>
    </w:rPr>
  </w:style>
  <w:style w:type="paragraph" w:styleId="CommentSubject">
    <w:name w:val="annotation subject"/>
    <w:basedOn w:val="CommentText"/>
    <w:next w:val="CommentText"/>
    <w:link w:val="CommentSubjectChar"/>
    <w:uiPriority w:val="99"/>
    <w:semiHidden/>
    <w:unhideWhenUsed/>
    <w:rsid w:val="00571A76"/>
    <w:rPr>
      <w:b/>
      <w:bCs/>
    </w:rPr>
  </w:style>
  <w:style w:type="character" w:customStyle="1" w:styleId="CommentSubjectChar">
    <w:name w:val="Comment Subject Char"/>
    <w:basedOn w:val="CommentTextChar"/>
    <w:link w:val="CommentSubject"/>
    <w:uiPriority w:val="99"/>
    <w:semiHidden/>
    <w:rsid w:val="00571A76"/>
    <w:rPr>
      <w:b/>
      <w:bCs/>
      <w:sz w:val="20"/>
      <w:szCs w:val="20"/>
    </w:rPr>
  </w:style>
  <w:style w:type="paragraph" w:styleId="TOC3">
    <w:name w:val="toc 3"/>
    <w:basedOn w:val="Normal"/>
    <w:next w:val="Normal"/>
    <w:autoRedefine/>
    <w:uiPriority w:val="39"/>
    <w:unhideWhenUsed/>
    <w:rsid w:val="000A71DA"/>
    <w:pPr>
      <w:spacing w:after="100" w:line="278" w:lineRule="auto"/>
      <w:ind w:left="480"/>
    </w:pPr>
    <w:rPr>
      <w:rFonts w:eastAsiaTheme="minorEastAsia"/>
      <w:kern w:val="2"/>
      <w:sz w:val="24"/>
      <w:szCs w:val="24"/>
      <w:lang w:eastAsia="en-IE"/>
      <w14:ligatures w14:val="standardContextual"/>
    </w:rPr>
  </w:style>
  <w:style w:type="paragraph" w:styleId="TOC4">
    <w:name w:val="toc 4"/>
    <w:basedOn w:val="Normal"/>
    <w:next w:val="Normal"/>
    <w:autoRedefine/>
    <w:uiPriority w:val="39"/>
    <w:unhideWhenUsed/>
    <w:rsid w:val="000A71DA"/>
    <w:pPr>
      <w:spacing w:after="100" w:line="278" w:lineRule="auto"/>
      <w:ind w:left="720"/>
    </w:pPr>
    <w:rPr>
      <w:rFonts w:eastAsiaTheme="minorEastAsia"/>
      <w:kern w:val="2"/>
      <w:sz w:val="24"/>
      <w:szCs w:val="24"/>
      <w:lang w:eastAsia="en-IE"/>
      <w14:ligatures w14:val="standardContextual"/>
    </w:rPr>
  </w:style>
  <w:style w:type="paragraph" w:styleId="TOC5">
    <w:name w:val="toc 5"/>
    <w:basedOn w:val="Normal"/>
    <w:next w:val="Normal"/>
    <w:autoRedefine/>
    <w:uiPriority w:val="39"/>
    <w:unhideWhenUsed/>
    <w:rsid w:val="000A71DA"/>
    <w:pPr>
      <w:spacing w:after="100" w:line="278" w:lineRule="auto"/>
      <w:ind w:left="960"/>
    </w:pPr>
    <w:rPr>
      <w:rFonts w:eastAsiaTheme="minorEastAsia"/>
      <w:kern w:val="2"/>
      <w:sz w:val="24"/>
      <w:szCs w:val="24"/>
      <w:lang w:eastAsia="en-IE"/>
      <w14:ligatures w14:val="standardContextual"/>
    </w:rPr>
  </w:style>
  <w:style w:type="paragraph" w:styleId="TOC6">
    <w:name w:val="toc 6"/>
    <w:basedOn w:val="Normal"/>
    <w:next w:val="Normal"/>
    <w:autoRedefine/>
    <w:uiPriority w:val="39"/>
    <w:unhideWhenUsed/>
    <w:rsid w:val="000A71DA"/>
    <w:pPr>
      <w:spacing w:after="100" w:line="278" w:lineRule="auto"/>
      <w:ind w:left="1200"/>
    </w:pPr>
    <w:rPr>
      <w:rFonts w:eastAsiaTheme="minorEastAsia"/>
      <w:kern w:val="2"/>
      <w:sz w:val="24"/>
      <w:szCs w:val="24"/>
      <w:lang w:eastAsia="en-IE"/>
      <w14:ligatures w14:val="standardContextual"/>
    </w:rPr>
  </w:style>
  <w:style w:type="paragraph" w:styleId="TOC7">
    <w:name w:val="toc 7"/>
    <w:basedOn w:val="Normal"/>
    <w:next w:val="Normal"/>
    <w:autoRedefine/>
    <w:uiPriority w:val="39"/>
    <w:unhideWhenUsed/>
    <w:rsid w:val="000A71DA"/>
    <w:pPr>
      <w:spacing w:after="100" w:line="278" w:lineRule="auto"/>
      <w:ind w:left="1440"/>
    </w:pPr>
    <w:rPr>
      <w:rFonts w:eastAsiaTheme="minorEastAsia"/>
      <w:kern w:val="2"/>
      <w:sz w:val="24"/>
      <w:szCs w:val="24"/>
      <w:lang w:eastAsia="en-IE"/>
      <w14:ligatures w14:val="standardContextual"/>
    </w:rPr>
  </w:style>
  <w:style w:type="paragraph" w:styleId="TOC8">
    <w:name w:val="toc 8"/>
    <w:basedOn w:val="Normal"/>
    <w:next w:val="Normal"/>
    <w:autoRedefine/>
    <w:uiPriority w:val="39"/>
    <w:unhideWhenUsed/>
    <w:rsid w:val="000A71DA"/>
    <w:pPr>
      <w:spacing w:after="100" w:line="278" w:lineRule="auto"/>
      <w:ind w:left="1680"/>
    </w:pPr>
    <w:rPr>
      <w:rFonts w:eastAsiaTheme="minorEastAsia"/>
      <w:kern w:val="2"/>
      <w:sz w:val="24"/>
      <w:szCs w:val="24"/>
      <w:lang w:eastAsia="en-IE"/>
      <w14:ligatures w14:val="standardContextual"/>
    </w:rPr>
  </w:style>
  <w:style w:type="paragraph" w:styleId="TOC9">
    <w:name w:val="toc 9"/>
    <w:basedOn w:val="Normal"/>
    <w:next w:val="Normal"/>
    <w:autoRedefine/>
    <w:uiPriority w:val="39"/>
    <w:unhideWhenUsed/>
    <w:rsid w:val="000A71DA"/>
    <w:pPr>
      <w:spacing w:after="100" w:line="278" w:lineRule="auto"/>
      <w:ind w:left="1920"/>
    </w:pPr>
    <w:rPr>
      <w:rFonts w:eastAsiaTheme="minorEastAsia"/>
      <w:kern w:val="2"/>
      <w:sz w:val="24"/>
      <w:szCs w:val="24"/>
      <w:lang w:eastAsia="en-IE"/>
      <w14:ligatures w14:val="standardContextual"/>
    </w:rPr>
  </w:style>
  <w:style w:type="character" w:styleId="UnresolvedMention">
    <w:name w:val="Unresolved Mention"/>
    <w:basedOn w:val="DefaultParagraphFont"/>
    <w:uiPriority w:val="99"/>
    <w:unhideWhenUsed/>
    <w:rsid w:val="000A71DA"/>
    <w:rPr>
      <w:color w:val="605E5C"/>
      <w:shd w:val="clear" w:color="auto" w:fill="E1DFDD"/>
    </w:rPr>
  </w:style>
  <w:style w:type="paragraph" w:styleId="NormalWeb">
    <w:name w:val="Normal (Web)"/>
    <w:basedOn w:val="Normal"/>
    <w:uiPriority w:val="99"/>
    <w:unhideWhenUsed/>
    <w:rsid w:val="00F6706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453D91"/>
    <w:rPr>
      <w:color w:val="954F72" w:themeColor="followedHyperlink"/>
      <w:u w:val="single"/>
    </w:rPr>
  </w:style>
  <w:style w:type="paragraph" w:styleId="Revision">
    <w:name w:val="Revision"/>
    <w:hidden/>
    <w:uiPriority w:val="99"/>
    <w:semiHidden/>
    <w:rsid w:val="00342969"/>
    <w:pPr>
      <w:spacing w:after="0" w:line="240" w:lineRule="auto"/>
    </w:pPr>
  </w:style>
  <w:style w:type="character" w:customStyle="1" w:styleId="Heading1Char">
    <w:name w:val="Heading 1 Char"/>
    <w:basedOn w:val="DefaultParagraphFont"/>
    <w:link w:val="Heading1"/>
    <w:uiPriority w:val="9"/>
    <w:rsid w:val="00E95D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738059">
      <w:bodyDiv w:val="1"/>
      <w:marLeft w:val="0"/>
      <w:marRight w:val="0"/>
      <w:marTop w:val="0"/>
      <w:marBottom w:val="0"/>
      <w:divBdr>
        <w:top w:val="none" w:sz="0" w:space="0" w:color="auto"/>
        <w:left w:val="none" w:sz="0" w:space="0" w:color="auto"/>
        <w:bottom w:val="none" w:sz="0" w:space="0" w:color="auto"/>
        <w:right w:val="none" w:sz="0" w:space="0" w:color="auto"/>
      </w:divBdr>
    </w:div>
    <w:div w:id="1075054909">
      <w:bodyDiv w:val="1"/>
      <w:marLeft w:val="0"/>
      <w:marRight w:val="0"/>
      <w:marTop w:val="0"/>
      <w:marBottom w:val="0"/>
      <w:divBdr>
        <w:top w:val="none" w:sz="0" w:space="0" w:color="auto"/>
        <w:left w:val="none" w:sz="0" w:space="0" w:color="auto"/>
        <w:bottom w:val="none" w:sz="0" w:space="0" w:color="auto"/>
        <w:right w:val="none" w:sz="0" w:space="0" w:color="auto"/>
      </w:divBdr>
    </w:div>
    <w:div w:id="1082214950">
      <w:bodyDiv w:val="1"/>
      <w:marLeft w:val="0"/>
      <w:marRight w:val="0"/>
      <w:marTop w:val="0"/>
      <w:marBottom w:val="0"/>
      <w:divBdr>
        <w:top w:val="none" w:sz="0" w:space="0" w:color="auto"/>
        <w:left w:val="none" w:sz="0" w:space="0" w:color="auto"/>
        <w:bottom w:val="none" w:sz="0" w:space="0" w:color="auto"/>
        <w:right w:val="none" w:sz="0" w:space="0" w:color="auto"/>
      </w:divBdr>
    </w:div>
    <w:div w:id="182681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pws.ie/protected-sites/spa/004077" TargetMode="External"/><Relationship Id="rId18" Type="http://schemas.openxmlformats.org/officeDocument/2006/relationships/hyperlink" Target="https://www.npws.ie/protected-sites/sac/002111" TargetMode="External"/><Relationship Id="rId3" Type="http://schemas.openxmlformats.org/officeDocument/2006/relationships/customXml" Target="../customXml/item3.xml"/><Relationship Id="rId21" Type="http://schemas.openxmlformats.org/officeDocument/2006/relationships/hyperlink" Target="https://www.npws.ie/sites/default/files/protected-sites/conservation_objectives/CO002165.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npws.ie/protected-sites/sac/00217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pws.ie/protected-sites/sac/002351" TargetMode="External"/><Relationship Id="rId20" Type="http://schemas.openxmlformats.org/officeDocument/2006/relationships/hyperlink" Target="https://www.npws.ie/sites/default/files/protected-sites/conservation_objectives/CO004077.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npws.ie/protected-sites/spa/004161"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npws.ie/protected-sites/sac/00032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pws.ie/protected-sites/sac/002165"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C2F78105874EF6AC91DB63F8136143"/>
        <w:category>
          <w:name w:val="General"/>
          <w:gallery w:val="placeholder"/>
        </w:category>
        <w:types>
          <w:type w:val="bbPlcHdr"/>
        </w:types>
        <w:behaviors>
          <w:behavior w:val="content"/>
        </w:behaviors>
        <w:guid w:val="{F7870473-37A7-49E4-8A97-A5AA339CF902}"/>
      </w:docPartPr>
      <w:docPartBody>
        <w:p w:rsidR="003D3256" w:rsidRDefault="003D3256"/>
      </w:docPartBody>
    </w:docPart>
    <w:docPart>
      <w:docPartPr>
        <w:name w:val="14CE94884C81489E94A04D7F770CA729"/>
        <w:category>
          <w:name w:val="General"/>
          <w:gallery w:val="placeholder"/>
        </w:category>
        <w:types>
          <w:type w:val="bbPlcHdr"/>
        </w:types>
        <w:behaviors>
          <w:behavior w:val="content"/>
        </w:behaviors>
        <w:guid w:val="{2CB3E9DF-B3BA-427F-9A6A-40AC6FD9F648}"/>
      </w:docPartPr>
      <w:docPartBody>
        <w:p w:rsidR="003D3256" w:rsidRDefault="003D3256"/>
      </w:docPartBody>
    </w:docPart>
    <w:docPart>
      <w:docPartPr>
        <w:name w:val="B49CBAFD7CBC422FA68485F94B5C5A23"/>
        <w:category>
          <w:name w:val="General"/>
          <w:gallery w:val="placeholder"/>
        </w:category>
        <w:types>
          <w:type w:val="bbPlcHdr"/>
        </w:types>
        <w:behaviors>
          <w:behavior w:val="content"/>
        </w:behaviors>
        <w:guid w:val="{C78F8D57-A8B5-48DD-A8BB-BB364F5B0976}"/>
      </w:docPartPr>
      <w:docPartBody>
        <w:p w:rsidR="003D3256" w:rsidRDefault="003D3256"/>
      </w:docPartBody>
    </w:docPart>
    <w:docPart>
      <w:docPartPr>
        <w:name w:val="12EFE85B6FBC443C8D5C4A72BD2D202D"/>
        <w:category>
          <w:name w:val="General"/>
          <w:gallery w:val="placeholder"/>
        </w:category>
        <w:types>
          <w:type w:val="bbPlcHdr"/>
        </w:types>
        <w:behaviors>
          <w:behavior w:val="content"/>
        </w:behaviors>
        <w:guid w:val="{063B3FE4-5FAB-43ED-8FA3-AC9C342555C9}"/>
      </w:docPartPr>
      <w:docPartBody>
        <w:p w:rsidR="003D3256" w:rsidRDefault="003D3256"/>
      </w:docPartBody>
    </w:docPart>
    <w:docPart>
      <w:docPartPr>
        <w:name w:val="24C2264422F94E2390568CF17B5EF12F"/>
        <w:category>
          <w:name w:val="General"/>
          <w:gallery w:val="placeholder"/>
        </w:category>
        <w:types>
          <w:type w:val="bbPlcHdr"/>
        </w:types>
        <w:behaviors>
          <w:behavior w:val="content"/>
        </w:behaviors>
        <w:guid w:val="{ACEA2D90-3070-403C-88F4-06CBDEC08EAD}"/>
      </w:docPartPr>
      <w:docPartBody>
        <w:p w:rsidR="003D3256" w:rsidRDefault="003D3256"/>
      </w:docPartBody>
    </w:docPart>
    <w:docPart>
      <w:docPartPr>
        <w:name w:val="17E433C79E75428F9B960EF1A48712AD"/>
        <w:category>
          <w:name w:val="General"/>
          <w:gallery w:val="placeholder"/>
        </w:category>
        <w:types>
          <w:type w:val="bbPlcHdr"/>
        </w:types>
        <w:behaviors>
          <w:behavior w:val="content"/>
        </w:behaviors>
        <w:guid w:val="{EC417FEC-A13E-4C1D-8B84-35C7416B0115}"/>
      </w:docPartPr>
      <w:docPartBody>
        <w:p w:rsidR="00B95E8E" w:rsidRDefault="00B95E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29"/>
    <w:rsid w:val="00125E1A"/>
    <w:rsid w:val="001B6BCE"/>
    <w:rsid w:val="001E04CA"/>
    <w:rsid w:val="002045AA"/>
    <w:rsid w:val="00231D26"/>
    <w:rsid w:val="00340129"/>
    <w:rsid w:val="0034711C"/>
    <w:rsid w:val="003C3BB9"/>
    <w:rsid w:val="003D3256"/>
    <w:rsid w:val="003E4C11"/>
    <w:rsid w:val="00407F13"/>
    <w:rsid w:val="004D2755"/>
    <w:rsid w:val="005665D5"/>
    <w:rsid w:val="005A306E"/>
    <w:rsid w:val="005C0C22"/>
    <w:rsid w:val="006D3D4E"/>
    <w:rsid w:val="00737C48"/>
    <w:rsid w:val="007C232D"/>
    <w:rsid w:val="00836D59"/>
    <w:rsid w:val="00854D8B"/>
    <w:rsid w:val="008B1516"/>
    <w:rsid w:val="009367F7"/>
    <w:rsid w:val="009477CB"/>
    <w:rsid w:val="0099654C"/>
    <w:rsid w:val="009B77F3"/>
    <w:rsid w:val="009D4EA6"/>
    <w:rsid w:val="009E13AB"/>
    <w:rsid w:val="009F5C55"/>
    <w:rsid w:val="00A33C82"/>
    <w:rsid w:val="00A67207"/>
    <w:rsid w:val="00B171BD"/>
    <w:rsid w:val="00B2495B"/>
    <w:rsid w:val="00B95E8E"/>
    <w:rsid w:val="00C0428E"/>
    <w:rsid w:val="00C0675B"/>
    <w:rsid w:val="00C5607E"/>
    <w:rsid w:val="00C8390D"/>
    <w:rsid w:val="00CE27E1"/>
    <w:rsid w:val="00D14227"/>
    <w:rsid w:val="00D16937"/>
    <w:rsid w:val="00D212E5"/>
    <w:rsid w:val="00EB2F27"/>
    <w:rsid w:val="00ED6C16"/>
    <w:rsid w:val="00F477AE"/>
    <w:rsid w:val="00F57D67"/>
    <w:rsid w:val="00FA6C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C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BP_x0020_Lodgement_x0020_ID xmlns="e39c804d-d9b2-4ec6-826c-30a9204269a9" xsi:nil="true"/>
    <n3c2a31da2e24b1a8b3dd84347bfb856 xmlns="e39c804d-d9b2-4ec6-826c-30a9204269a9">
      <Terms xmlns="http://schemas.microsoft.com/office/infopath/2007/PartnerControls"/>
    </n3c2a31da2e24b1a8b3dd84347bfb856>
    <ABP_x0020_Case_x0020_ID xmlns="e39c804d-d9b2-4ec6-826c-30a9204269a9">ABP-318540-23</ABP_x0020_Case_x0020_ID>
    <ABP_x0020_Document_x0020_Type xmlns="e39c804d-d9b2-4ec6-826c-30a9204269a9" xsi:nil="true"/>
    <TaxCatchAll xmlns="e39c804d-d9b2-4ec6-826c-30a9204269a9" xsi:nil="true"/>
    <lcf76f155ced4ddcb4097134ff3c332f xmlns="b4f88796-af16-4e80-9b9e-f57354866798">
      <Terms xmlns="http://schemas.microsoft.com/office/infopath/2007/PartnerControls"/>
    </lcf76f155ced4ddcb4097134ff3c332f>
  </documentManagement>
</p:properties>
</file>

<file path=customXml/item3.xml><?xml version="1.0" encoding="utf-8"?>
<letter>
  <document>
    <row>
      <osds_irdraftdocumentsid>{785FD65D-3FE8-EE11-AA43-000D3AB76566}</osds_irdraftdocumentsid>
      <osds_inspectorreport_osds_abpcase_title>ABP-318540-23</osds_inspectorreport_osds_abpcase_title>
      <osds_inspectorreport_osds_abpcase_osds_paname_name>Kerry County Council</osds_inspectorreport_osds_abpcase_osds_paname_name>
      <osds_inspectorreport_osds_abpcase_osds_developmentdetails_osds_siteaddress>at Tarbert Island, Tarbert, Co. Kerry. (www.ssetarbertnextgen.com)</osds_inspectorreport_osds_abpcase_osds_developmentdetails_osds_siteaddress>
      <osds_inspectorreport_osds_abpcase_osds_developmentdetails_osds_summarydescription>10 year planning permission for the proposed Open Cycle Gas Turbine (OCGT) power plant fuelled by Hydrotreated Vegetable Oil (HVO) and associated site works</osds_inspectorreport_osds_abpcase_osds_developmentdetails_osds_summarydescription>
      <osds_inspectorreport_osds_inspector_osds_name>Laura Finn</osds_inspectorreport_osds_inspector_osds_name>
    </row>
  </document>
</lette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BP - PleanIT Document" ma:contentTypeID="0x010100FEC5926356DD3D458B4B20183BCD50860077800EF62ABD3A4D9D7D7D3C9E20A7FA" ma:contentTypeVersion="26" ma:contentTypeDescription="" ma:contentTypeScope="" ma:versionID="1894cd882349061cabdcfb3c0162cfaa">
  <xsd:schema xmlns:xsd="http://www.w3.org/2001/XMLSchema" xmlns:xs="http://www.w3.org/2001/XMLSchema" xmlns:p="http://schemas.microsoft.com/office/2006/metadata/properties" xmlns:ns2="e39c804d-d9b2-4ec6-826c-30a9204269a9" xmlns:ns3="b4f88796-af16-4e80-9b9e-f57354866798" targetNamespace="http://schemas.microsoft.com/office/2006/metadata/properties" ma:root="true" ma:fieldsID="b32e308eae386e0517b015f593062716" ns2:_="" ns3:_="">
    <xsd:import namespace="e39c804d-d9b2-4ec6-826c-30a9204269a9"/>
    <xsd:import namespace="b4f88796-af16-4e80-9b9e-f57354866798"/>
    <xsd:element name="properties">
      <xsd:complexType>
        <xsd:sequence>
          <xsd:element name="documentManagement">
            <xsd:complexType>
              <xsd:all>
                <xsd:element ref="ns2:ABP_x0020_Case_x0020_ID" minOccurs="0"/>
                <xsd:element ref="ns2:ABP_x0020_Lodgement_x0020_ID" minOccurs="0"/>
                <xsd:element ref="ns2:TaxCatchAll" minOccurs="0"/>
                <xsd:element ref="ns2:TaxCatchAllLabel" minOccurs="0"/>
                <xsd:element ref="ns2:ABP_x0020_Document_x0020_Type" minOccurs="0"/>
                <xsd:element ref="ns2:n3c2a31da2e24b1a8b3dd84347bfb856"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AutoKeyPoints" minOccurs="0"/>
                <xsd:element ref="ns3:MediaServiceKeyPoints" minOccurs="0"/>
                <xsd:element ref="ns3:MediaServiceSearchProperties" minOccurs="0"/>
                <xsd:element ref="ns3:MediaServiceObjectDetectorVersion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804d-d9b2-4ec6-826c-30a9204269a9" elementFormDefault="qualified">
    <xsd:import namespace="http://schemas.microsoft.com/office/2006/documentManagement/types"/>
    <xsd:import namespace="http://schemas.microsoft.com/office/infopath/2007/PartnerControls"/>
    <xsd:element name="ABP_x0020_Case_x0020_ID" ma:index="1" nillable="true" ma:displayName="ABP Case ID" ma:indexed="true" ma:internalName="ABP_x0020_Case_x0020_ID" ma:readOnly="false">
      <xsd:simpleType>
        <xsd:restriction base="dms:Text">
          <xsd:maxLength value="255"/>
        </xsd:restriction>
      </xsd:simpleType>
    </xsd:element>
    <xsd:element name="ABP_x0020_Lodgement_x0020_ID" ma:index="2" nillable="true" ma:displayName="ABP Lodgement ID" ma:indexed="true" ma:internalName="ABP_x0020_Lodgement_x0020_ID" ma:readOnly="false">
      <xsd:simpleType>
        <xsd:restriction base="dms:Text">
          <xsd:maxLength value="255"/>
        </xsd:restriction>
      </xsd:simpleType>
    </xsd:element>
    <xsd:element name="TaxCatchAll" ma:index="8" nillable="true" ma:displayName="Taxonomy Catch All Column" ma:hidden="true" ma:list="{7d411a18-2717-4dcd-a8e5-608bfdd20b34}" ma:internalName="TaxCatchAll" ma:readOnly="false" ma:showField="CatchAllData"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411a18-2717-4dcd-a8e5-608bfdd20b34}" ma:internalName="TaxCatchAllLabel" ma:readOnly="true" ma:showField="CatchAllDataLabel"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ABP_x0020_Document_x0020_Type" ma:index="12" nillable="true" ma:displayName="ABP Document Type" ma:hidden="true" ma:internalName="ABP_x0020_Document_x0020_Type" ma:readOnly="false">
      <xsd:simpleType>
        <xsd:restriction base="dms:Text">
          <xsd:maxLength value="255"/>
        </xsd:restriction>
      </xsd:simpleType>
    </xsd:element>
    <xsd:element name="n3c2a31da2e24b1a8b3dd84347bfb856" ma:index="13" nillable="true" ma:taxonomy="true" ma:internalName="n3c2a31da2e24b1a8b3dd84347bfb856" ma:taxonomyFieldName="SP_x0020_Document_x0020_Type" ma:displayName="Document Type" ma:indexed="true" ma:readOnly="false" ma:fieldId="{73c2a31d-a2e2-4b1a-8b3d-d84347bfb856}" ma:sspId="f15d8867-dcf5-483c-af6b-1e9b6274bf0f" ma:termSetId="35e66045-c40d-46fe-9c4c-e80fc4c1c7ca"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88796-af16-4e80-9b9e-f5735486679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15d8867-dcf5-483c-af6b-1e9b6274bf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9EB29-A86F-4075-B1B9-C0FE4FBD5342}">
  <ds:schemaRefs>
    <ds:schemaRef ds:uri="http://schemas.microsoft.com/sharepoint/v3/contenttype/forms"/>
  </ds:schemaRefs>
</ds:datastoreItem>
</file>

<file path=customXml/itemProps2.xml><?xml version="1.0" encoding="utf-8"?>
<ds:datastoreItem xmlns:ds="http://schemas.openxmlformats.org/officeDocument/2006/customXml" ds:itemID="{66715EF1-0AC5-460F-B14D-6391FB1DF4B6}">
  <ds:schemaRefs>
    <ds:schemaRef ds:uri="http://schemas.microsoft.com/office/2006/metadata/properties"/>
    <ds:schemaRef ds:uri="http://schemas.microsoft.com/office/infopath/2007/PartnerControls"/>
    <ds:schemaRef ds:uri="e39c804d-d9b2-4ec6-826c-30a9204269a9"/>
    <ds:schemaRef ds:uri="b4f88796-af16-4e80-9b9e-f57354866798"/>
  </ds:schemaRefs>
</ds:datastoreItem>
</file>

<file path=customXml/itemProps3.xml><?xml version="1.0" encoding="utf-8"?>
<ds:datastoreItem xmlns:ds="http://schemas.openxmlformats.org/officeDocument/2006/customXml" ds:itemID="{1EE89D74-1E58-4B75-A5E5-68A3AB795C37}">
  <ds:schemaRefs/>
</ds:datastoreItem>
</file>

<file path=customXml/itemProps4.xml><?xml version="1.0" encoding="utf-8"?>
<ds:datastoreItem xmlns:ds="http://schemas.openxmlformats.org/officeDocument/2006/customXml" ds:itemID="{EACB8BEA-2FBD-4BF1-BF60-89C9DBBE33EE}">
  <ds:schemaRefs>
    <ds:schemaRef ds:uri="http://schemas.openxmlformats.org/officeDocument/2006/bibliography"/>
  </ds:schemaRefs>
</ds:datastoreItem>
</file>

<file path=customXml/itemProps5.xml><?xml version="1.0" encoding="utf-8"?>
<ds:datastoreItem xmlns:ds="http://schemas.openxmlformats.org/officeDocument/2006/customXml" ds:itemID="{8672A331-D95B-4797-A695-DE0D91242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c804d-d9b2-4ec6-826c-30a9204269a9"/>
    <ds:schemaRef ds:uri="b4f88796-af16-4e80-9b9e-f57354866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138</Pages>
  <Words>45610</Words>
  <Characters>259980</Characters>
  <Application>Microsoft Office Word</Application>
  <DocSecurity>0</DocSecurity>
  <Lines>2166</Lines>
  <Paragraphs>609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Gopinath Gurusamy</dc:creator>
  <cp:lastModifiedBy>Laura Finn</cp:lastModifiedBy>
  <cp:revision>5</cp:revision>
  <cp:lastPrinted>2024-06-20T17:32:00Z</cp:lastPrinted>
  <dcterms:created xsi:type="dcterms:W3CDTF">2024-06-21T12:45:00Z</dcterms:created>
  <dcterms:modified xsi:type="dcterms:W3CDTF">2024-07-08T14:59:00Z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10408</vt:lpwstr>
  </property>
  <property fmtid="{D5CDD505-2E9C-101B-9397-08002B2CF9AE}" pid="4" name="WMMTaskPane">
    <vt:lpwstr>a8d3ba80-388a-4ee6-b941-6de49e53c751</vt:lpwstr>
  </property>
  <property fmtid="{D5CDD505-2E9C-101B-9397-08002B2CF9AE}" pid="5" name="WMMTaskPaneDocx">
    <vt:lpwstr>70d59868-dec6-4b88-8496-56c28c2c8b35</vt:lpwstr>
  </property>
  <property fmtid="{D5CDD505-2E9C-101B-9397-08002B2CF9AE}" pid="6" name="WMMTemplateName">
    <vt:lpwstr>6cb26291-3d1e-e911-80e5-00155d02cf19</vt:lpwstr>
  </property>
  <property fmtid="{D5CDD505-2E9C-101B-9397-08002B2CF9AE}" pid="7" name="wmm_Field_1252655f-2bb1-41db-86c4-f668838c5ee7_1">
    <vt:lpwstr>osds_inspectorreport_osds_abpcase_osds_developmentdetails_osds_siteaddress</vt:lpwstr>
  </property>
  <property fmtid="{D5CDD505-2E9C-101B-9397-08002B2CF9AE}" pid="8" name="wmm_Field_a2fbd2c6-9113-4b6b-9510-7cd19f2b3921_1">
    <vt:lpwstr>osds_inspectorreport_osds_abpcase_osds_developmentdetails_osds_summarydescription</vt:lpwstr>
  </property>
  <property fmtid="{D5CDD505-2E9C-101B-9397-08002B2CF9AE}" pid="9" name="WordMailMerge">
    <vt:lpwstr>osds_irdraftdocuments</vt:lpwstr>
  </property>
  <property fmtid="{D5CDD505-2E9C-101B-9397-08002B2CF9AE}" pid="10" name="WordMailMergeDocType">
    <vt:lpwstr>Client</vt:lpwstr>
  </property>
  <property fmtid="{D5CDD505-2E9C-101B-9397-08002B2CF9AE}" pid="11" name="WordMailMergeDocumentName">
    <vt:lpwstr>'General Report Template'</vt:lpwstr>
  </property>
  <property fmtid="{D5CDD505-2E9C-101B-9397-08002B2CF9AE}" pid="12" name="WordMailMergeDocumentNameValue">
    <vt:lpwstr>General Report Template</vt:lpwstr>
  </property>
  <property fmtid="{D5CDD505-2E9C-101B-9397-08002B2CF9AE}" pid="13" name="WordMailMergeFetchX1">
    <vt:lpwstr>&lt;fetches&gt;&lt;fetch name="document"&gt;&lt;entity name="osds_irdraftdocuments"&gt;&lt;attribute name="osds_irdraftdocumentsid" /&gt;&lt;link-entity name="osds_inspectorreport" to="osds_inspectorreport" link-type="outer"&gt;&lt;link-entity name="incident" to="osds_abpcase" link-type=</vt:lpwstr>
  </property>
  <property fmtid="{D5CDD505-2E9C-101B-9397-08002B2CF9AE}" pid="14" name="WordMailMergeFetchX2">
    <vt:lpwstr>"outer" alias="osds_inspectorreport_osds_abpcase"&gt;&lt;attribute name="title" /&gt;&lt;link-entity name="account" to="osds_paname" link-type="outer" alias="osds_inspectorreport_osds_abpcase_osds_paname"&gt;&lt;attribute name="name" /&gt;&lt;/link-entity&gt;&lt;link-entity name="osds</vt:lpwstr>
  </property>
  <property fmtid="{D5CDD505-2E9C-101B-9397-08002B2CF9AE}" pid="15" name="WordMailMergeFetchX3">
    <vt:lpwstr>_developmentdetails" to="osds_developmentdetails" link-type="outer" alias="osds_inspectorreport_osds_abpcase_osds_developmentdetails"&gt;&lt;attribute name="osds_siteaddress" /&gt;&lt;attribute name="osds_summarydescription" /&gt;&lt;/link-entity&gt;&lt;link-entity name="osds_pa</vt:lpwstr>
  </property>
  <property fmtid="{D5CDD505-2E9C-101B-9397-08002B2CF9AE}" pid="16" name="WordMailMergeFetchX4">
    <vt:lpwstr>case" to="osds_pacase" link-type="outer" alias="osds_inspectorreport_osds_abpcase_osds_pacase"&gt;&lt;attribute name="osds_decision" /&gt;&lt;attribute name="osds_name" /&gt;&lt;/link-entity&gt;&lt;/link-entity&gt;&lt;link-entity name="osds_inspector" to="osds_inspector" link-type="ou</vt:lpwstr>
  </property>
  <property fmtid="{D5CDD505-2E9C-101B-9397-08002B2CF9AE}" pid="17" name="WordMailMergeFetchX5">
    <vt:lpwstr>ter" alias="osds_inspectorreport_osds_inspector"&gt;&lt;attribute name="osds_name" /&gt;&lt;/link-entity&gt;&lt;/link-entity&gt;&lt;filter type="and"&gt;&lt;condition attribute="osds_irdraftdocumentsid" operator="in"&gt;&lt;value&gt;qid&lt;/value&gt;&lt;/condition&gt;&lt;/filter&gt;&lt;/entity&gt;&lt;/fetch&gt;&lt;/fetches&gt;</vt:lpwstr>
  </property>
  <property fmtid="{D5CDD505-2E9C-101B-9397-08002B2CF9AE}" pid="18" name="WordMailMergeGUID">
    <vt:lpwstr>785fd65d-3fe8-ee11-aa43-000d3ab76566</vt:lpwstr>
  </property>
  <property fmtid="{D5CDD505-2E9C-101B-9397-08002B2CF9AE}" pid="19" name="WordMailMergeWordDocumentType">
    <vt:lpwstr>-1</vt:lpwstr>
  </property>
  <property fmtid="{D5CDD505-2E9C-101B-9397-08002B2CF9AE}" pid="20" name="ContentTypeId">
    <vt:lpwstr>0x010100FEC5926356DD3D458B4B20183BCD50860077800EF62ABD3A4D9D7D7D3C9E20A7FA</vt:lpwstr>
  </property>
</Properties>
</file>